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3 марта</w:t>
      </w:r>
      <w:r>
        <w:rPr>
          <w:rFonts w:ascii="Arial" w:cs="Arial" w:eastAsia="Arial" w:hAnsi="Arial"/>
          <w:sz w:val="24"/>
          <w:szCs w:val="24"/>
        </w:rPr>
        <w:t xml:space="preserve"> 202</w:t>
      </w:r>
      <w:r>
        <w:rPr>
          <w:rFonts w:ascii="Arial" w:cs="Arial" w:eastAsia="Arial" w:hAnsi="Arial"/>
          <w:sz w:val="24"/>
          <w:szCs w:val="24"/>
        </w:rPr>
        <w:t xml:space="preserve">5</w:t>
      </w:r>
      <w:r>
        <w:rPr>
          <w:rFonts w:ascii="Arial" w:cs="Arial" w:eastAsia="Arial" w:hAnsi="Arial"/>
          <w:sz w:val="24"/>
          <w:szCs w:val="24"/>
        </w:rPr>
        <w:t xml:space="preserve"> года № </w:t>
      </w:r>
      <w:r>
        <w:rPr>
          <w:rFonts w:ascii="Arial" w:cs="Arial" w:eastAsia="Arial" w:hAnsi="Arial"/>
          <w:sz w:val="24"/>
          <w:szCs w:val="24"/>
        </w:rPr>
        <w:t xml:space="preserve">110</w:t>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w:t>
      </w:r>
    </w:p>
    <w:p>
      <w:pPr>
        <w:spacing w:after="240" w:before="200"/>
        <w:jc w:val="center"/>
      </w:pPr>
      <w:r>
        <w:rPr>
          <w:rFonts w:ascii="Arial" w:cs="Arial" w:eastAsia="Arial" w:hAnsi="Arial"/>
          <w:b/>
          <w:bCs/>
          <w:sz w:val="28"/>
          <w:szCs w:val="28"/>
        </w:rPr>
        <w:t xml:space="preserve">Кыргызской Республики «О Регламенте Кабинета Министров </w:t>
      </w:r>
    </w:p>
    <w:p>
      <w:pPr>
        <w:spacing w:after="240" w:before="200"/>
        <w:jc w:val="center"/>
      </w:pPr>
      <w:r>
        <w:rPr>
          <w:rFonts w:ascii="Arial" w:cs="Arial" w:eastAsia="Arial" w:hAnsi="Arial"/>
          <w:b/>
          <w:bCs/>
          <w:sz w:val="28"/>
          <w:szCs w:val="28"/>
        </w:rPr>
        <w:t xml:space="preserve">Кыргызской Республики» от 28 октября 2021 года № 233</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обеспечения исполнения законов Кыргызской Республики государственными органами, внедрения единого учета нормотворческих инициатив, в соответствии со статьями </w:t>
      </w:r>
      <w:hyperlink w:history="1" r:id="rIdiuunannwpzd_l3v0huror">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mooagfgrrrun_qhhjyfm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ewjrzpzmxlh8wm5xsnn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w:t>
      </w:r>
      <w:hyperlink w:history="1" r:id="rIdxsbvo08r19zmwktvk1kc3">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от 28 октября 2021 года № 233 следующие изменения:</w:t>
      </w:r>
    </w:p>
    <w:p>
      <w:pPr>
        <w:spacing w:after="120"/>
        <w:ind w:firstLine="397"/>
        <w:jc w:val="both"/>
      </w:pPr>
      <w:r>
        <w:rPr>
          <w:rFonts w:ascii="Arial" w:cs="Arial" w:eastAsia="Arial" w:hAnsi="Arial"/>
          <w:sz w:val="24"/>
          <w:szCs w:val="24"/>
        </w:rPr>
        <w:t xml:space="preserve">в </w:t>
      </w:r>
      <w:hyperlink w:history="1" r:id="rIdzr4mqw33axpeo1wirh_lw">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утвержденном вышеуказанным </w:t>
      </w:r>
      <w:hyperlink w:history="1" r:id="rIdejg9doeamot7yf-i8q18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_dlffdvuzdao3quxpvp8z">
        <w:r>
          <w:rPr>
            <w:rFonts w:ascii="Arial" w:cs="Arial" w:eastAsia="Arial" w:hAnsi="Arial"/>
            <w:color w:val="1D4ED8"/>
            <w:sz w:val="24"/>
            <w:szCs w:val="24"/>
            <w:u w:val="single"/>
          </w:rPr>
          <w:t xml:space="preserve">пункт 46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«46. В целях организации исполнения законов Кыргызской Республики, указов, распоряжений Президента, а также поручений Президента Кабинету Министров издаются нормативные правовые акты (акты) Кабинета Министров, акты Председателя Кабинета Министров, акты министерств, государственного комитета, административных ведомств и других государственных органов, даются поручения Председателя Кабинета Министров, заместителей Председателя Кабинета Министров, заместителя Руководителя Администрации Президента - начальника управления, начальников управлений Администрации Президента министерствам, государственному комитету, административным ведомствам и иным органам исполнительной власти, местным государственным администрациям, государственным органам при Президенте, органам местного самоуправления.</w:t>
      </w:r>
    </w:p>
    <w:p>
      <w:pPr>
        <w:spacing w:after="120"/>
        <w:ind w:firstLine="397"/>
        <w:jc w:val="both"/>
      </w:pPr>
      <w:r>
        <w:rPr>
          <w:rFonts w:ascii="Arial" w:cs="Arial" w:eastAsia="Arial" w:hAnsi="Arial"/>
          <w:sz w:val="24"/>
          <w:szCs w:val="24"/>
        </w:rPr>
        <w:t xml:space="preserve">Контроль за своевременным и качественным исполнением поручений по исполнению законов Кыргызской Республики осуществляется структурным подразделением Администрации Президента, ответственным за контроль исполнения.»;</w:t>
      </w:r>
    </w:p>
    <w:p>
      <w:pPr>
        <w:spacing w:after="120"/>
        <w:ind w:firstLine="397"/>
        <w:jc w:val="both"/>
      </w:pPr>
      <w:r>
        <w:rPr>
          <w:rFonts w:ascii="Arial" w:cs="Arial" w:eastAsia="Arial" w:hAnsi="Arial"/>
          <w:sz w:val="24"/>
          <w:szCs w:val="24"/>
        </w:rPr>
        <w:t xml:space="preserve">- дополнить </w:t>
      </w:r>
      <w:hyperlink w:history="1" r:id="rIdoaui2vnvphl8t39e_nsro">
        <w:r>
          <w:rPr>
            <w:rFonts w:ascii="Arial" w:cs="Arial" w:eastAsia="Arial" w:hAnsi="Arial"/>
            <w:color w:val="1D4ED8"/>
            <w:sz w:val="24"/>
            <w:szCs w:val="24"/>
            <w:u w:val="single"/>
          </w:rPr>
          <w:t xml:space="preserve">пунктом 46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«46</w:t>
      </w:r>
      <w:r>
        <w:rPr>
          <w:rFonts w:ascii="Arial" w:cs="Arial" w:eastAsia="Arial" w:hAnsi="Arial"/>
          <w:sz w:val="24"/>
          <w:szCs w:val="24"/>
        </w:rPr>
        <w:t xml:space="preserve">1</w:t>
      </w:r>
      <w:r>
        <w:rPr>
          <w:rFonts w:ascii="Arial" w:cs="Arial" w:eastAsia="Arial" w:hAnsi="Arial"/>
          <w:sz w:val="24"/>
          <w:szCs w:val="24"/>
        </w:rPr>
        <w:t xml:space="preserve">. Структурное подразделение Администрации Президента, ответственное за контроль исполнения, в течение семи рабочих дней со дня подписания Президентом закона направляет соответствующему министерству, государственному комитету, административному ведомству или иному государственному органу (по согласованию) поручение обеспечить исполнение закона на основании (по согласованию) перечня, указанного в абзаце восьмом </w:t>
      </w:r>
      <w:r>
        <w:rPr>
          <w:rFonts w:ascii="Arial" w:cs="Arial" w:eastAsia="Arial" w:hAnsi="Arial"/>
          <w:sz w:val="24"/>
          <w:szCs w:val="24"/>
        </w:rPr>
        <w:t xml:space="preserve">пункта 63</w:t>
      </w:r>
      <w:r>
        <w:rPr>
          <w:rFonts w:ascii="Arial" w:cs="Arial" w:eastAsia="Arial" w:hAnsi="Arial"/>
          <w:sz w:val="24"/>
          <w:szCs w:val="24"/>
        </w:rPr>
        <w:t xml:space="preserve"> настоящего Регламента.</w:t>
      </w:r>
    </w:p>
    <w:p>
      <w:pPr>
        <w:spacing w:after="120"/>
        <w:ind w:firstLine="397"/>
        <w:jc w:val="both"/>
      </w:pPr>
      <w:r>
        <w:rPr>
          <w:rFonts w:ascii="Arial" w:cs="Arial" w:eastAsia="Arial" w:hAnsi="Arial"/>
          <w:sz w:val="24"/>
          <w:szCs w:val="24"/>
        </w:rPr>
        <w:t xml:space="preserve">Министерства, государственный комитет, административные ведомства и иные государственные органы обеспечивают исполнение законов посредством разработки, продвижения и принятия в установленном порядке нормативных и ненормативных правовых актов либо осуществляют организацию иных мероприятий, вытекающих из требований закона, в сроки, установленные в законе.</w:t>
      </w:r>
    </w:p>
    <w:p>
      <w:pPr>
        <w:spacing w:after="120"/>
        <w:ind w:firstLine="397"/>
        <w:jc w:val="both"/>
      </w:pPr>
      <w:r>
        <w:rPr>
          <w:rFonts w:ascii="Arial" w:cs="Arial" w:eastAsia="Arial" w:hAnsi="Arial"/>
          <w:sz w:val="24"/>
          <w:szCs w:val="24"/>
        </w:rPr>
        <w:t xml:space="preserve">При отсутствии в законе прямого поручения о разработке нормативных и ненормативных правовых актов уполномоченный орган соответствующей сферы (основной исполнитель) проводит анализ необходимости их разработки. При необходимости разработки такие акты инициируются уполномоченным органом самостоятельно либо совместно с соответствующими государственными органами.</w:t>
      </w:r>
    </w:p>
    <w:p>
      <w:pPr>
        <w:spacing w:after="120"/>
        <w:ind w:firstLine="397"/>
        <w:jc w:val="both"/>
      </w:pPr>
      <w:r>
        <w:rPr>
          <w:rFonts w:ascii="Arial" w:cs="Arial" w:eastAsia="Arial" w:hAnsi="Arial"/>
          <w:sz w:val="24"/>
          <w:szCs w:val="24"/>
        </w:rPr>
        <w:t xml:space="preserve">В случае если в законе не указан срок исполнения, то такой закон подлежит исполнению в течение шестимесячного срока.</w:t>
      </w:r>
    </w:p>
    <w:p>
      <w:pPr>
        <w:spacing w:after="120"/>
        <w:ind w:firstLine="397"/>
        <w:jc w:val="both"/>
      </w:pPr>
      <w:r>
        <w:rPr>
          <w:rFonts w:ascii="Arial" w:cs="Arial" w:eastAsia="Arial" w:hAnsi="Arial"/>
          <w:sz w:val="24"/>
          <w:szCs w:val="24"/>
        </w:rPr>
        <w:t xml:space="preserve">Информация о ходе исполнения законов включается министерствами, государственным комитетом, административными ведомствами и иными государственными органами в автоматизированную систему исполнения законов, порядок работы которой определяется решением Кабинета Министров.»;</w:t>
      </w:r>
    </w:p>
    <w:p>
      <w:pPr>
        <w:spacing w:after="120"/>
        <w:ind w:firstLine="397"/>
        <w:jc w:val="both"/>
      </w:pPr>
      <w:r>
        <w:rPr>
          <w:rFonts w:ascii="Arial" w:cs="Arial" w:eastAsia="Arial" w:hAnsi="Arial"/>
          <w:sz w:val="24"/>
          <w:szCs w:val="24"/>
        </w:rPr>
        <w:t xml:space="preserve">- </w:t>
      </w:r>
      <w:hyperlink w:history="1" r:id="rIdp9ihrcedxndrkt58dd-ph">
        <w:r>
          <w:rPr>
            <w:rFonts w:ascii="Arial" w:cs="Arial" w:eastAsia="Arial" w:hAnsi="Arial"/>
            <w:color w:val="1D4ED8"/>
            <w:sz w:val="24"/>
            <w:szCs w:val="24"/>
            <w:u w:val="single"/>
          </w:rPr>
          <w:t xml:space="preserve">пункт 54</w:t>
        </w:r>
        <w:r>
          <w:rPr>
            <w:rFonts w:ascii="Arial" w:cs="Arial" w:eastAsia="Arial" w:hAnsi="Arial"/>
            <w:color w:val="1D4ED8"/>
            <w:sz w:val="24"/>
            <w:szCs w:val="24"/>
            <w:u w:val="single"/>
          </w:rPr>
          <w:t xml:space="preserve">10</w:t>
        </w:r>
      </w:hyperlink>
      <w:r>
        <w:rPr>
          <w:rFonts w:ascii="Arial" w:cs="Arial" w:eastAsia="Arial" w:hAnsi="Arial"/>
          <w:sz w:val="24"/>
          <w:szCs w:val="24"/>
        </w:rPr>
        <w:t xml:space="preserve"> дополнить абзацами следующего содержания:</w:t>
      </w:r>
    </w:p>
    <w:p>
      <w:pPr>
        <w:spacing w:after="120"/>
        <w:ind w:firstLine="397"/>
        <w:jc w:val="both"/>
      </w:pPr>
      <w:r>
        <w:rPr>
          <w:rFonts w:ascii="Arial" w:cs="Arial" w:eastAsia="Arial" w:hAnsi="Arial"/>
          <w:sz w:val="24"/>
          <w:szCs w:val="24"/>
        </w:rPr>
        <w:t xml:space="preserve">«Проекты актов, доработанные в Администрации Президента и содержащие изменения, внесенные в процессе доработки, должны быть согласованы (завизированы) с руководителем министерства, государственного комитета, административного ведомства, разработавшего проект, в течение двух рабочих дней, а в случае его отсутствия - с заместителем, на которого возложено исполнение обязанностей руководителя.</w:t>
      </w:r>
    </w:p>
    <w:p>
      <w:pPr>
        <w:spacing w:after="120"/>
        <w:ind w:firstLine="397"/>
        <w:jc w:val="both"/>
      </w:pPr>
      <w:r>
        <w:rPr>
          <w:rFonts w:ascii="Arial" w:cs="Arial" w:eastAsia="Arial" w:hAnsi="Arial"/>
          <w:sz w:val="24"/>
          <w:szCs w:val="24"/>
        </w:rPr>
        <w:t xml:space="preserve">Согласование может осуществляться в рабочем порядке посредством парафирования (подписания) текста проекта акта или путем направления письма, с приложением подготовленного проекта акта.»;</w:t>
      </w:r>
    </w:p>
    <w:p>
      <w:pPr>
        <w:spacing w:after="120"/>
        <w:ind w:firstLine="397"/>
        <w:jc w:val="both"/>
      </w:pPr>
      <w:r>
        <w:rPr>
          <w:rFonts w:ascii="Arial" w:cs="Arial" w:eastAsia="Arial" w:hAnsi="Arial"/>
          <w:sz w:val="24"/>
          <w:szCs w:val="24"/>
        </w:rPr>
        <w:t xml:space="preserve">- дополнить </w:t>
      </w:r>
      <w:hyperlink w:history="1" r:id="rIdhfvi3v_3xnvtklrzgihev">
        <w:r>
          <w:rPr>
            <w:rFonts w:ascii="Arial" w:cs="Arial" w:eastAsia="Arial" w:hAnsi="Arial"/>
            <w:color w:val="1D4ED8"/>
            <w:sz w:val="24"/>
            <w:szCs w:val="24"/>
            <w:u w:val="single"/>
          </w:rPr>
          <w:t xml:space="preserve">пунктом 54</w:t>
        </w:r>
        <w:r>
          <w:rPr>
            <w:rFonts w:ascii="Arial" w:cs="Arial" w:eastAsia="Arial" w:hAnsi="Arial"/>
            <w:color w:val="1D4ED8"/>
            <w:sz w:val="24"/>
            <w:szCs w:val="24"/>
            <w:u w:val="single"/>
          </w:rPr>
          <w:t xml:space="preserve">13</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13</w:t>
      </w:r>
      <w:r>
        <w:rPr>
          <w:rFonts w:ascii="Arial" w:cs="Arial" w:eastAsia="Arial" w:hAnsi="Arial"/>
          <w:sz w:val="24"/>
          <w:szCs w:val="24"/>
        </w:rPr>
        <w:t xml:space="preserve">. Проекты законов, инициируемые министерствами, государственным комитетом и административными ведомствами, проекты нормативных правовых актов Кабинета Министров подлежат включению в Реестр нормотворческих инициатив в порядке, определяемом Министерством юстиции.»;</w:t>
      </w:r>
    </w:p>
    <w:p>
      <w:pPr>
        <w:spacing w:after="120"/>
        <w:ind w:firstLine="397"/>
        <w:jc w:val="both"/>
      </w:pPr>
      <w:r>
        <w:rPr>
          <w:rFonts w:ascii="Arial" w:cs="Arial" w:eastAsia="Arial" w:hAnsi="Arial"/>
          <w:sz w:val="24"/>
          <w:szCs w:val="24"/>
        </w:rPr>
        <w:t xml:space="preserve">- абзац восьмой </w:t>
      </w:r>
      <w:hyperlink w:history="1" r:id="rIdfk1gxg5lyihtboxixkgpt">
        <w:r>
          <w:rPr>
            <w:rFonts w:ascii="Arial" w:cs="Arial" w:eastAsia="Arial" w:hAnsi="Arial"/>
            <w:color w:val="1D4ED8"/>
            <w:sz w:val="24"/>
            <w:szCs w:val="24"/>
            <w:u w:val="single"/>
          </w:rPr>
          <w:t xml:space="preserve">пункта 63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«перечень нормативных и ненормативных правовых актов, подлежащих принятию или изменению после принятия проекта закона, и перечень организационных мероприятий, вытекающих из проекта закона, по форме, прилагаемой к настоящему Регламенту. В случае когда принятие проекта закона не требует принятия или изменения нормативных и ненормативных правовых актов, а также когда не требуется реализация организационных мероприятий, данная информация подлежит включению в справку-обоснование к проекту закона.»;</w:t>
      </w:r>
    </w:p>
    <w:p>
      <w:pPr>
        <w:spacing w:after="120"/>
        <w:ind w:firstLine="397"/>
        <w:jc w:val="both"/>
      </w:pPr>
      <w:r>
        <w:rPr>
          <w:rFonts w:ascii="Arial" w:cs="Arial" w:eastAsia="Arial" w:hAnsi="Arial"/>
          <w:sz w:val="24"/>
          <w:szCs w:val="24"/>
        </w:rPr>
        <w:t xml:space="preserve">- дополнить </w:t>
      </w:r>
      <w:hyperlink w:history="1" r:id="rIddrwysyva-rui5bfbdwwgl">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Министерствам, государственному комитету, административным ведомствам и иным государственным органам (по согласованию):</w:t>
      </w:r>
    </w:p>
    <w:p>
      <w:pPr>
        <w:spacing w:after="120"/>
        <w:ind w:firstLine="397"/>
        <w:jc w:val="both"/>
      </w:pPr>
      <w:r>
        <w:rPr>
          <w:rFonts w:ascii="Arial" w:cs="Arial" w:eastAsia="Arial" w:hAnsi="Arial"/>
          <w:sz w:val="24"/>
          <w:szCs w:val="24"/>
        </w:rPr>
        <w:t xml:space="preserve">1) обеспечить при разработке проектов законов подготовку приложения к справке-обоснованию в виде перечня нормативных и ненормативных правовых актов, подлежащих принятию или изменению после принятия проекта закона, и перечня организационных мероприятий, вытекающих из закона;</w:t>
      </w:r>
    </w:p>
    <w:p>
      <w:pPr>
        <w:spacing w:after="120"/>
        <w:ind w:firstLine="397"/>
        <w:jc w:val="both"/>
      </w:pPr>
      <w:r>
        <w:rPr>
          <w:rFonts w:ascii="Arial" w:cs="Arial" w:eastAsia="Arial" w:hAnsi="Arial"/>
          <w:sz w:val="24"/>
          <w:szCs w:val="24"/>
        </w:rPr>
        <w:t xml:space="preserve">2) обеспечить включение инициируемых проектов законов и проектов нормативных правовых актов Кабинета Министров в Реестр нормотворческих инициатив в порядке, определенном Министерством юстиции Кыргызской Республики;</w:t>
      </w:r>
    </w:p>
    <w:p>
      <w:pPr>
        <w:spacing w:after="120"/>
        <w:ind w:firstLine="397"/>
        <w:jc w:val="both"/>
      </w:pPr>
      <w:r>
        <w:rPr>
          <w:rFonts w:ascii="Arial" w:cs="Arial" w:eastAsia="Arial" w:hAnsi="Arial"/>
          <w:sz w:val="24"/>
          <w:szCs w:val="24"/>
        </w:rPr>
        <w:t xml:space="preserve">3) возложить на руководителей министерств, государственного комитета и административных ведомств персональную ответственность за исполнение настоящего постановления.</w:t>
      </w:r>
    </w:p>
    <w:p>
      <w:pPr>
        <w:spacing w:after="120"/>
        <w:ind w:firstLine="397"/>
        <w:jc w:val="both"/>
      </w:pPr>
      <w:r>
        <w:rPr>
          <w:rFonts w:ascii="Arial" w:cs="Arial" w:eastAsia="Arial" w:hAnsi="Arial"/>
          <w:sz w:val="24"/>
          <w:szCs w:val="24"/>
        </w:rPr>
        <w:t xml:space="preserve">3. Министерству юстиции Кыргызской Республики:</w:t>
      </w:r>
    </w:p>
    <w:p>
      <w:pPr>
        <w:spacing w:after="120"/>
        <w:ind w:firstLine="397"/>
        <w:jc w:val="both"/>
      </w:pPr>
      <w:r>
        <w:rPr>
          <w:rFonts w:ascii="Arial" w:cs="Arial" w:eastAsia="Arial" w:hAnsi="Arial"/>
          <w:sz w:val="24"/>
          <w:szCs w:val="24"/>
        </w:rPr>
        <w:t xml:space="preserve">1) разработать автоматизированную систему «Реестр нормотворческих инициатив», обеспечить ее техническое сопровождение и внедрение в пилотном режиме;</w:t>
      </w:r>
    </w:p>
    <w:p>
      <w:pPr>
        <w:spacing w:after="120"/>
        <w:ind w:firstLine="397"/>
        <w:jc w:val="both"/>
      </w:pPr>
      <w:r>
        <w:rPr>
          <w:rFonts w:ascii="Arial" w:cs="Arial" w:eastAsia="Arial" w:hAnsi="Arial"/>
          <w:sz w:val="24"/>
          <w:szCs w:val="24"/>
        </w:rPr>
        <w:t xml:space="preserve">2) утвердить порядок ведения Реестра нормотворческих инициатив и обеспечить его публикацию на официальном сайте Министерства юстиции Кыргызской Республики;</w:t>
      </w:r>
    </w:p>
    <w:p>
      <w:pPr>
        <w:spacing w:after="120"/>
        <w:ind w:firstLine="397"/>
        <w:jc w:val="both"/>
      </w:pPr>
      <w:r>
        <w:rPr>
          <w:rFonts w:ascii="Arial" w:cs="Arial" w:eastAsia="Arial" w:hAnsi="Arial"/>
          <w:sz w:val="24"/>
          <w:szCs w:val="24"/>
        </w:rPr>
        <w:t xml:space="preserve">3) провести соответствующую работу среди министерств, государственного комитета и административных ведомств о применении Реестра нормотворческих инициатив.</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5. Настоящее постановление вступает в силу по истечении семи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4 марта 2025 года № 16 (3672)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7w7khsghph7w7orgxuahd">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Регламенту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к справке-обоснованию к проекту Закона Кыргызской Республики</w:t>
      </w:r>
    </w:p>
    <w:p>
      <w:pPr>
        <w:spacing w:after="120"/>
        <w:jc w:val="center"/>
      </w:pP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(наименования проекта)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1240"/>
        <w:gridCol w:w="1455"/>
        <w:gridCol w:w="1455"/>
        <w:gridCol w:w="1150"/>
        <w:gridCol w:w="1836"/>
        <w:gridCol w:w="1225"/>
        <w:gridCol w:w="1374"/>
      </w:tblGrid>
      <w:tr>
        <w:tc>
          <w:tcPr>
            <w:tcW w:type="dxa" w:w="4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Закона</w:t>
            </w:r>
          </w:p>
          <w:p>
            <w:pPr>
              <w:jc w:val="center"/>
            </w:pPr>
            <w:r>
              <w:rPr>
                <w:rFonts w:ascii="Arial" w:cs="Arial" w:eastAsia="Arial" w:hAnsi="Arial"/>
                <w:b/>
                <w:bCs/>
                <w:sz w:val="24"/>
                <w:szCs w:val="24"/>
              </w:rPr>
              <w:t xml:space="preserve">или</w:t>
            </w:r>
          </w:p>
          <w:p>
            <w:pPr>
              <w:jc w:val="center"/>
            </w:pPr>
            <w:r>
              <w:rPr>
                <w:rFonts w:ascii="Arial" w:cs="Arial" w:eastAsia="Arial" w:hAnsi="Arial"/>
                <w:b/>
                <w:bCs/>
                <w:sz w:val="24"/>
                <w:szCs w:val="24"/>
              </w:rPr>
              <w:t xml:space="preserve">Кодекса</w:t>
            </w:r>
          </w:p>
          <w:p>
            <w:pPr>
              <w:jc w:val="center"/>
            </w:pPr>
            <w:r>
              <w:rPr>
                <w:rFonts w:ascii="Arial" w:cs="Arial" w:eastAsia="Arial" w:hAnsi="Arial"/>
                <w:sz w:val="24"/>
                <w:szCs w:val="24"/>
              </w:rPr>
              <w:t xml:space="preserve">(когда</w:t>
            </w:r>
          </w:p>
          <w:p>
            <w:pPr>
              <w:jc w:val="center"/>
            </w:pPr>
            <w:r>
              <w:rPr>
                <w:rFonts w:ascii="Arial" w:cs="Arial" w:eastAsia="Arial" w:hAnsi="Arial"/>
                <w:sz w:val="24"/>
                <w:szCs w:val="24"/>
              </w:rPr>
              <w:t xml:space="preserve">изменения</w:t>
            </w:r>
          </w:p>
          <w:p>
            <w:pPr>
              <w:jc w:val="center"/>
            </w:pPr>
            <w:r>
              <w:rPr>
                <w:rFonts w:ascii="Arial" w:cs="Arial" w:eastAsia="Arial" w:hAnsi="Arial"/>
                <w:sz w:val="24"/>
                <w:szCs w:val="24"/>
              </w:rPr>
              <w:t xml:space="preserve">вносятся в</w:t>
            </w:r>
          </w:p>
          <w:p>
            <w:pPr>
              <w:jc w:val="center"/>
            </w:pPr>
            <w:r>
              <w:rPr>
                <w:rFonts w:ascii="Arial" w:cs="Arial" w:eastAsia="Arial" w:hAnsi="Arial"/>
                <w:sz w:val="24"/>
                <w:szCs w:val="24"/>
              </w:rPr>
              <w:t xml:space="preserve">два и</w:t>
            </w:r>
          </w:p>
          <w:p>
            <w:pPr>
              <w:jc w:val="center"/>
            </w:pPr>
            <w:r>
              <w:rPr>
                <w:rFonts w:ascii="Arial" w:cs="Arial" w:eastAsia="Arial" w:hAnsi="Arial"/>
                <w:sz w:val="24"/>
                <w:szCs w:val="24"/>
              </w:rPr>
              <w:t xml:space="preserve">более</w:t>
            </w:r>
          </w:p>
          <w:p>
            <w:pPr>
              <w:jc w:val="center"/>
            </w:pPr>
            <w:r>
              <w:rPr>
                <w:rFonts w:ascii="Arial" w:cs="Arial" w:eastAsia="Arial" w:hAnsi="Arial"/>
                <w:sz w:val="24"/>
                <w:szCs w:val="24"/>
              </w:rPr>
              <w:t xml:space="preserve">актов)</w:t>
            </w:r>
          </w:p>
        </w:tc>
        <w:tc>
          <w:tcPr>
            <w:tcW w:type="dxa" w:w="14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Нормативный</w:t>
            </w:r>
          </w:p>
          <w:p>
            <w:pPr>
              <w:jc w:val="center"/>
            </w:pPr>
            <w:r>
              <w:rPr>
                <w:rFonts w:ascii="Arial" w:cs="Arial" w:eastAsia="Arial" w:hAnsi="Arial"/>
                <w:b/>
                <w:bCs/>
                <w:sz w:val="24"/>
                <w:szCs w:val="24"/>
              </w:rPr>
              <w:t xml:space="preserve">правовой акт /</w:t>
            </w:r>
          </w:p>
          <w:p>
            <w:pPr>
              <w:jc w:val="center"/>
            </w:pPr>
            <w:r>
              <w:rPr>
                <w:rFonts w:ascii="Arial" w:cs="Arial" w:eastAsia="Arial" w:hAnsi="Arial"/>
                <w:b/>
                <w:bCs/>
                <w:sz w:val="24"/>
                <w:szCs w:val="24"/>
              </w:rPr>
              <w:t xml:space="preserve">ненормативный</w:t>
            </w:r>
          </w:p>
          <w:p>
            <w:pPr>
              <w:jc w:val="center"/>
            </w:pPr>
            <w:r>
              <w:rPr>
                <w:rFonts w:ascii="Arial" w:cs="Arial" w:eastAsia="Arial" w:hAnsi="Arial"/>
                <w:b/>
                <w:bCs/>
                <w:sz w:val="24"/>
                <w:szCs w:val="24"/>
              </w:rPr>
              <w:t xml:space="preserve">правовой акт,</w:t>
            </w:r>
          </w:p>
          <w:p>
            <w:pPr>
              <w:jc w:val="center"/>
            </w:pPr>
            <w:r>
              <w:rPr>
                <w:rFonts w:ascii="Arial" w:cs="Arial" w:eastAsia="Arial" w:hAnsi="Arial"/>
                <w:b/>
                <w:bCs/>
                <w:sz w:val="24"/>
                <w:szCs w:val="24"/>
              </w:rPr>
              <w:t xml:space="preserve">подлежащий,</w:t>
            </w:r>
          </w:p>
          <w:p>
            <w:pPr>
              <w:jc w:val="center"/>
            </w:pPr>
            <w:r>
              <w:rPr>
                <w:rFonts w:ascii="Arial" w:cs="Arial" w:eastAsia="Arial" w:hAnsi="Arial"/>
                <w:b/>
                <w:bCs/>
                <w:sz w:val="24"/>
                <w:szCs w:val="24"/>
              </w:rPr>
              <w:t xml:space="preserve">принятию или</w:t>
            </w:r>
          </w:p>
          <w:p>
            <w:pPr>
              <w:jc w:val="center"/>
            </w:pPr>
            <w:r>
              <w:rPr>
                <w:rFonts w:ascii="Arial" w:cs="Arial" w:eastAsia="Arial" w:hAnsi="Arial"/>
                <w:b/>
                <w:bCs/>
                <w:sz w:val="24"/>
                <w:szCs w:val="24"/>
              </w:rPr>
              <w:t xml:space="preserve">изменению после</w:t>
            </w:r>
          </w:p>
          <w:p>
            <w:pPr>
              <w:jc w:val="center"/>
            </w:pPr>
            <w:r>
              <w:rPr>
                <w:rFonts w:ascii="Arial" w:cs="Arial" w:eastAsia="Arial" w:hAnsi="Arial"/>
                <w:b/>
                <w:bCs/>
                <w:sz w:val="24"/>
                <w:szCs w:val="24"/>
              </w:rPr>
              <w:t xml:space="preserve">принятия проекта</w:t>
            </w:r>
          </w:p>
          <w:p>
            <w:pPr>
              <w:jc w:val="center"/>
            </w:pPr>
            <w:r>
              <w:rPr>
                <w:rFonts w:ascii="Arial" w:cs="Arial" w:eastAsia="Arial" w:hAnsi="Arial"/>
                <w:b/>
                <w:bCs/>
                <w:sz w:val="24"/>
                <w:szCs w:val="24"/>
              </w:rPr>
              <w:t xml:space="preserve">закона</w:t>
            </w:r>
          </w:p>
        </w:tc>
        <w:tc>
          <w:tcPr>
            <w:tcW w:type="dxa" w:w="14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Организационные</w:t>
            </w:r>
          </w:p>
          <w:p>
            <w:pPr>
              <w:jc w:val="center"/>
            </w:pPr>
            <w:r>
              <w:rPr>
                <w:rFonts w:ascii="Arial" w:cs="Arial" w:eastAsia="Arial" w:hAnsi="Arial"/>
                <w:b/>
                <w:bCs/>
                <w:sz w:val="24"/>
                <w:szCs w:val="24"/>
              </w:rPr>
              <w:t xml:space="preserve">мероприятия</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p>
            <w:pPr>
              <w:jc w:val="center"/>
            </w:pPr>
            <w:r>
              <w:rPr>
                <w:rFonts w:ascii="Arial" w:cs="Arial" w:eastAsia="Arial" w:hAnsi="Arial"/>
                <w:b/>
                <w:bCs/>
                <w:sz w:val="24"/>
                <w:szCs w:val="24"/>
              </w:rPr>
              <w:t xml:space="preserve">исполнения</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w:t>
            </w:r>
          </w:p>
          <w:p>
            <w:pPr>
              <w:jc w:val="center"/>
            </w:pPr>
            <w:r>
              <w:rPr>
                <w:rFonts w:ascii="Arial" w:cs="Arial" w:eastAsia="Arial" w:hAnsi="Arial"/>
                <w:b/>
                <w:bCs/>
                <w:sz w:val="24"/>
                <w:szCs w:val="24"/>
              </w:rPr>
              <w:t xml:space="preserve">государственный орган</w:t>
            </w:r>
          </w:p>
        </w:tc>
        <w:tc>
          <w:tcPr>
            <w:tcW w:type="dxa" w:w="1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Соисполнители</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w:t>
            </w:r>
          </w:p>
          <w:p>
            <w:pPr>
              <w:jc w:val="center"/>
            </w:pPr>
            <w:r>
              <w:rPr>
                <w:rFonts w:ascii="Arial" w:cs="Arial" w:eastAsia="Arial" w:hAnsi="Arial"/>
                <w:b/>
                <w:bCs/>
                <w:sz w:val="24"/>
                <w:szCs w:val="24"/>
              </w:rPr>
              <w:t xml:space="preserve">информация</w:t>
            </w:r>
          </w:p>
        </w:tc>
      </w:tr>
      <w:tr>
        <w:tc>
          <w:tcPr>
            <w:tcW w:type="dxa" w:w="8803"/>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uunannwpzd_l3v0huror" Type="http://schemas.openxmlformats.org/officeDocument/2006/relationships/hyperlink" Target="http://kodeks.duckdns.org/document/112301#st_13" TargetMode="External"/><Relationship Id="rIdmooagfgrrrun_qhhjyfmx" Type="http://schemas.openxmlformats.org/officeDocument/2006/relationships/hyperlink" Target="http://kodeks.duckdns.org/document/112301#st_17" TargetMode="External"/><Relationship Id="rIdewjrzpzmxlh8wm5xsnngs" Type="http://schemas.openxmlformats.org/officeDocument/2006/relationships/hyperlink" Target="http://kodeks.duckdns.org/document/158641" TargetMode="External"/><Relationship Id="rIdxsbvo08r19zmwktvk1kc3" Type="http://schemas.openxmlformats.org/officeDocument/2006/relationships/hyperlink" Target="http://kodeks.duckdns.org/document/158642" TargetMode="External"/><Relationship Id="rIdzr4mqw33axpeo1wirh_lw" Type="http://schemas.openxmlformats.org/officeDocument/2006/relationships/hyperlink" Target="http://kodeks.duckdns.org/document/158642" TargetMode="External"/><Relationship Id="rIdejg9doeamot7yf-i8q18h" Type="http://schemas.openxmlformats.org/officeDocument/2006/relationships/hyperlink" Target="http://kodeks.duckdns.org/document/158641" TargetMode="External"/><Relationship Id="rId_dlffdvuzdao3quxpvp8z" Type="http://schemas.openxmlformats.org/officeDocument/2006/relationships/hyperlink" Target="http://kodeks.duckdns.org/document/158642#p46" TargetMode="External"/><Relationship Id="rIdoaui2vnvphl8t39e_nsro" Type="http://schemas.openxmlformats.org/officeDocument/2006/relationships/hyperlink" Target="http://kodeks.duckdns.org/document/158642#p46_1" TargetMode="External"/><Relationship Id="rIdp9ihrcedxndrkt58dd-ph" Type="http://schemas.openxmlformats.org/officeDocument/2006/relationships/hyperlink" Target="http://kodeks.duckdns.org/document/158642#p54_10" TargetMode="External"/><Relationship Id="rIdhfvi3v_3xnvtklrzgihev" Type="http://schemas.openxmlformats.org/officeDocument/2006/relationships/hyperlink" Target="http://kodeks.duckdns.org/document/158642#p54_13" TargetMode="External"/><Relationship Id="rIdfk1gxg5lyihtboxixkgpt" Type="http://schemas.openxmlformats.org/officeDocument/2006/relationships/hyperlink" Target="http://kodeks.duckdns.org/document/158642#p63" TargetMode="External"/><Relationship Id="rIddrwysyva-rui5bfbdwwgl" Type="http://schemas.openxmlformats.org/officeDocument/2006/relationships/hyperlink" Target="http://kodeks.duckdns.org/document/158642#pr" TargetMode="External"/><Relationship Id="rId7w7khsghph7w7orgxuahd" Type="http://schemas.openxmlformats.org/officeDocument/2006/relationships/hyperlink" Target="http://kodeks.duckdns.org/document/158642#pr"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2026-09-23T06:11:54.819Z</dcterms:created>
  <dcterms:modified xsi:type="dcterms:W3CDTF">2026-09-23T06:11:54.819Z</dcterms:modified>
</cp:coreProperties>
</file>

<file path=docProps/custom.xml><?xml version="1.0" encoding="utf-8"?>
<Properties xmlns="http://schemas.openxmlformats.org/officeDocument/2006/custom-properties" xmlns:vt="http://schemas.openxmlformats.org/officeDocument/2006/docPropsVTypes"/>
</file>