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26 марта 2025 года № 153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предоставления государственных и муниципальных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1lc3epxvz45jp9-lw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Государственным органам, ответственным за стандартизацию государственных услуг в соответствии с единым реестром государственных услуг, а также стандартизацию муниципальных услуг в соответствии с базовым реестром муниципальных услуг, по утверждению стандартов соответствующих государственных и муниципальных услуг.".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hqbixkfbl5nsovlro7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Едином 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103 главы 1 "Образовательные и культурные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7931"/>
        <w:gridCol w:w="603"/>
        <w:gridCol w:w="603"/>
        <w:gridCol w:w="60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 и переподготовка в области Гражданской защиты и горноспасательного дела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"Обеспечение безопасности и хранения"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7960"/>
        <w:gridCol w:w="604"/>
        <w:gridCol w:w="604"/>
        <w:gridCol w:w="58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Хранение, захоронение, перевозка (в том числе трансграничная) радиоактивных материалов, веществ, отходов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</w:t>
      </w:r>
      <w:hyperlink w:history="1" r:id="rIdjcih6oyqphxndavato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стандартов</w:t>
      </w:r>
      <w:r>
        <w:rPr>
          <w:rFonts w:ascii="Arial" w:cs="Arial" w:eastAsia="Arial" w:hAnsi="Arial"/>
          <w:sz w:val="24"/>
          <w:szCs w:val="24"/>
        </w:rPr>
        <w:t xml:space="preserve"> муниципальных услуг, входящих в Базовый реестр муниципальных услуг, оказываемых органами местного самоуправления Кыргызской Республики" от 9 февраля 2017 года № 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3, который вступает в силу со 2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1lc3epxvz45jp9-lwfuq" Type="http://schemas.openxmlformats.org/officeDocument/2006/relationships/hyperlink" Target="http://kodeks.duckdns.org/document/160035" TargetMode="External"/><Relationship Id="rIdnhqbixkfbl5nsovlro7t5" Type="http://schemas.openxmlformats.org/officeDocument/2006/relationships/hyperlink" Target="http://kodeks.duckdns.org/document/230008396" TargetMode="External"/><Relationship Id="rIdjcih6oyqphxndavatolku" Type="http://schemas.openxmlformats.org/officeDocument/2006/relationships/hyperlink" Target="http://kodeks.duckdns.org/document/998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2026-09-22T23:44:58.667Z</dcterms:created>
  <dcterms:modified xsi:type="dcterms:W3CDTF">2026-09-22T23:44:58.667Z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