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СЕССИЯ ОШСКОГО ГОРОДСКОГО КЕНЕША</w:t>
      </w:r>
    </w:p>
    <w:p>
      <w:pPr>
        <w:spacing w:after="240" w:before="200"/>
        <w:jc w:val="center"/>
      </w:pPr>
      <w:r>
        <w:rPr>
          <w:rFonts w:ascii="Arial" w:cs="Arial" w:eastAsia="Arial" w:hAnsi="Arial"/>
          <w:b/>
          <w:bCs/>
          <w:sz w:val="32"/>
          <w:szCs w:val="32"/>
        </w:rPr>
        <w:t xml:space="preserve">(V СОЗЫВ)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апреля 2025 года № 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порядка расчета по определению арендной платы за использование муниципальных земель (земельных участков) в городе Ош и карты экономико–планировочных зон по городу Ош</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Руководствуясь статьей 34 Закона Кыргызской Республики “О местной государственной администрации и органах местного самоуправления”, заслушав и обсудив информацию начальника отдела градостроительства и муниципальной собственности мэрии города Ош Казыбай уулу Мирлана об утверждении порядка расчета по определению арендной платы за использование муниципальных земель (земельных участков) в городе Ош и карты экономико–планировочных зон по городу Ош, принимая во внимание решение постоянной депутатской комиссии Ошского городского Кенеша по вопросам архитектуры, строительства, муниципальной собственности, экологии, аграрии и чрезвычайных ситуаций №19 от 25 марта 2025 года, Ошский городской Кенеш </w:t>
      </w:r>
      <w:r>
        <w:rPr>
          <w:rFonts w:ascii="Arial" w:cs="Arial" w:eastAsia="Arial" w:hAnsi="Arial"/>
          <w:b/>
          <w:bCs/>
          <w:sz w:val="24"/>
          <w:szCs w:val="24"/>
        </w:rPr>
        <w:t xml:space="preserve">постановляет: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1.Утвердить порядок расчета по определению арендной платы за использование муниципальных земель (земельных участков) в городе Ош, согласно приложению 1, карту экономико–планировочных зон по городу Ош, согласно приложению 2 (приложения 1, 2 прилагаются).</w:t>
      </w:r>
    </w:p>
    <w:p>
      <w:pPr>
        <w:spacing w:after="200"/>
        <w:jc w:val="both"/>
      </w:pPr>
      <w:r>
        <w:rPr>
          <w:rFonts w:ascii="Arial" w:cs="Arial" w:eastAsia="Arial" w:hAnsi="Arial"/>
          <w:sz w:val="24"/>
          <w:szCs w:val="24"/>
        </w:rPr>
        <w:t xml:space="preserve">2.Считать утратившим силу нижеследующие:</w:t>
      </w:r>
    </w:p>
    <w:p>
      <w:pPr>
        <w:spacing w:after="200"/>
        <w:jc w:val="both"/>
      </w:pPr>
      <w:r>
        <w:rPr>
          <w:rFonts w:ascii="Arial" w:cs="Arial" w:eastAsia="Arial" w:hAnsi="Arial"/>
          <w:sz w:val="24"/>
          <w:szCs w:val="24"/>
        </w:rPr>
        <w:t xml:space="preserve">–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№83 от 15 ноября 2022 года “О внесении изменений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№116 от 14 февраля 2023 года “О внесении изменения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 постановление Ошского городского Кенеша №149 от 20 июня 2023 года “О внесении изменения в постановление Ошского городского Кенеша №212 от 25 декабря 2019 года “Об утверждении расчетов по определению арендной платы за использование муниципальных земель (земельных участков) и карты экономико–планировочных зон”.</w:t>
      </w:r>
    </w:p>
    <w:p>
      <w:pPr>
        <w:spacing w:after="200"/>
        <w:jc w:val="both"/>
      </w:pPr>
      <w:r>
        <w:rPr>
          <w:rFonts w:ascii="Arial" w:cs="Arial" w:eastAsia="Arial" w:hAnsi="Arial"/>
          <w:sz w:val="24"/>
          <w:szCs w:val="24"/>
        </w:rPr>
        <w:t xml:space="preserve">3.Постановление зарегистрировать в установленном законодательством порядке и опубликовать в средствах массовой информации.</w:t>
      </w:r>
    </w:p>
    <w:p>
      <w:pPr>
        <w:spacing w:after="200"/>
        <w:jc w:val="both"/>
      </w:pPr>
      <w:r>
        <w:rPr>
          <w:rFonts w:ascii="Arial" w:cs="Arial" w:eastAsia="Arial" w:hAnsi="Arial"/>
          <w:sz w:val="24"/>
          <w:szCs w:val="24"/>
        </w:rPr>
        <w:t xml:space="preserve">4.Постановление вступает в силу со дня опубликования.</w:t>
      </w:r>
    </w:p>
    <w:p>
      <w:pPr>
        <w:spacing w:after="200"/>
        <w:jc w:val="both"/>
      </w:pPr>
      <w:r>
        <w:rPr>
          <w:rFonts w:ascii="Arial" w:cs="Arial" w:eastAsia="Arial" w:hAnsi="Arial"/>
          <w:sz w:val="24"/>
          <w:szCs w:val="24"/>
        </w:rPr>
        <w:t xml:space="preserve">5.Контроль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экологии, аграрии и чрезвычайной ситуации (Бакир уулу Ш.).</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Б. Баетов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Приложение 1</w:t>
      </w:r>
      <w:r>
        <w:rPr>
          <w:rFonts w:ascii="Arial" w:cs="Arial" w:eastAsia="Arial" w:hAnsi="Arial"/>
          <w:sz w:val="20"/>
          <w:szCs w:val="20"/>
        </w:rPr>
        <w:t xml:space="preserve">      к постановлению VIсессии</w:t>
      </w:r>
      <w:r>
        <w:rPr>
          <w:rFonts w:ascii="Arial" w:cs="Arial" w:eastAsia="Arial" w:hAnsi="Arial"/>
          <w:sz w:val="20"/>
          <w:szCs w:val="20"/>
        </w:rPr>
        <w:t xml:space="preserve">Ошского городского Кенеша </w:t>
      </w:r>
      <w:r>
        <w:rPr>
          <w:rFonts w:ascii="Arial" w:cs="Arial" w:eastAsia="Arial" w:hAnsi="Arial"/>
          <w:sz w:val="20"/>
          <w:szCs w:val="20"/>
        </w:rPr>
        <w:t xml:space="preserve">№29 от 16 апреля 2025 года</w:t>
      </w:r>
    </w:p>
    <w:p>
      <w:pPr>
        <w:spacing w:after="60"/>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расчёта </w:t>
      </w:r>
    </w:p>
    <w:p>
      <w:pPr>
        <w:spacing w:after="240" w:before="200"/>
        <w:jc w:val="center"/>
      </w:pPr>
      <w:r>
        <w:rPr>
          <w:rFonts w:ascii="Arial" w:cs="Arial" w:eastAsia="Arial" w:hAnsi="Arial"/>
          <w:b/>
          <w:bCs/>
          <w:sz w:val="32"/>
          <w:szCs w:val="32"/>
        </w:rPr>
        <w:t xml:space="preserve">по определению арендной платы </w:t>
      </w:r>
      <w:r>
        <w:rPr>
          <w:rFonts w:ascii="Arial" w:cs="Arial" w:eastAsia="Arial" w:hAnsi="Arial"/>
          <w:b/>
          <w:bCs/>
          <w:sz w:val="32"/>
          <w:szCs w:val="32"/>
        </w:rPr>
        <w:t xml:space="preserve">за использование</w:t>
      </w:r>
    </w:p>
    <w:p>
      <w:pPr>
        <w:spacing w:after="240" w:before="200"/>
        <w:jc w:val="center"/>
      </w:pPr>
      <w:r>
        <w:rPr>
          <w:rFonts w:ascii="Arial" w:cs="Arial" w:eastAsia="Arial" w:hAnsi="Arial"/>
          <w:b/>
          <w:bCs/>
          <w:sz w:val="32"/>
          <w:szCs w:val="32"/>
        </w:rPr>
        <w:t xml:space="preserve">муниципальных земель (земельных участков) в городе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Данный Порядок расчёта, на основании Гражданского Кодекса Кыргызской Республики, Земельного Кодекса Кыргызской Республики, Закона Кыргызской Республики «О местной государственной администрации и органах местного самоуправления», Закона Кыргызской Республики «О муниципальной собственности на имущество», Закона Кыргызской Республики «О статусе города Ош» и на основании иных нормативных правовых актов, определяющих арендные отношения, определяет арендную плату по договору аренды земельныхучастков.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Ап=НхSхК1хК2</w:t>
      </w:r>
    </w:p>
    <w:p>
      <w:pPr>
        <w:spacing w:after="120"/>
        <w:ind w:firstLine="567"/>
        <w:jc w:val="both"/>
      </w:pPr>
      <w:r>
        <w:rPr>
          <w:rFonts w:ascii="Arial" w:cs="Arial" w:eastAsia="Arial" w:hAnsi="Arial"/>
          <w:b/>
          <w:bCs/>
          <w:sz w:val="24"/>
          <w:szCs w:val="24"/>
        </w:rPr>
        <w:t xml:space="preserve">Ап–</w:t>
      </w:r>
      <w:r>
        <w:rPr>
          <w:rFonts w:ascii="Arial" w:cs="Arial" w:eastAsia="Arial" w:hAnsi="Arial"/>
          <w:sz w:val="24"/>
          <w:szCs w:val="24"/>
        </w:rPr>
        <w:t xml:space="preserve">ежемесячная арендная плата;</w:t>
      </w:r>
    </w:p>
    <w:p>
      <w:pPr>
        <w:spacing w:after="120"/>
        <w:ind w:firstLine="567"/>
        <w:jc w:val="both"/>
      </w:pPr>
      <w:r>
        <w:rPr>
          <w:rFonts w:ascii="Arial" w:cs="Arial" w:eastAsia="Arial" w:hAnsi="Arial"/>
          <w:b/>
          <w:bCs/>
          <w:sz w:val="24"/>
          <w:szCs w:val="24"/>
        </w:rPr>
        <w:t xml:space="preserve">Н</w:t>
      </w:r>
      <w:r>
        <w:rPr>
          <w:rFonts w:ascii="Arial" w:cs="Arial" w:eastAsia="Arial" w:hAnsi="Arial"/>
          <w:sz w:val="24"/>
          <w:szCs w:val="24"/>
        </w:rPr>
        <w:t xml:space="preserve">–ставка земельного налога согласно Налоговому Кодексу Кыргызской Республики; </w:t>
      </w:r>
    </w:p>
    <w:p>
      <w:pPr>
        <w:spacing w:after="120"/>
        <w:ind w:firstLine="567"/>
        <w:jc w:val="both"/>
      </w:pPr>
      <w:r>
        <w:rPr>
          <w:rFonts w:ascii="Arial" w:cs="Arial" w:eastAsia="Arial" w:hAnsi="Arial"/>
          <w:b/>
          <w:bCs/>
          <w:sz w:val="24"/>
          <w:szCs w:val="24"/>
        </w:rPr>
        <w:t xml:space="preserve">S</w:t>
      </w:r>
      <w:r>
        <w:rPr>
          <w:rFonts w:ascii="Arial" w:cs="Arial" w:eastAsia="Arial" w:hAnsi="Arial"/>
          <w:sz w:val="24"/>
          <w:szCs w:val="24"/>
        </w:rPr>
        <w:t xml:space="preserve">–площадь земельного участка, квадратный метр; </w:t>
      </w:r>
    </w:p>
    <w:p>
      <w:pPr>
        <w:spacing w:after="120"/>
        <w:ind w:firstLine="567"/>
        <w:jc w:val="both"/>
      </w:pPr>
      <w:r>
        <w:rPr>
          <w:rFonts w:ascii="Arial" w:cs="Arial" w:eastAsia="Arial" w:hAnsi="Arial"/>
          <w:b/>
          <w:bCs/>
          <w:sz w:val="24"/>
          <w:szCs w:val="24"/>
        </w:rPr>
        <w:t xml:space="preserve">К1</w:t>
      </w:r>
      <w:r>
        <w:rPr>
          <w:rFonts w:ascii="Arial" w:cs="Arial" w:eastAsia="Arial" w:hAnsi="Arial"/>
          <w:sz w:val="24"/>
          <w:szCs w:val="24"/>
        </w:rPr>
        <w:t xml:space="preserve">–коэффициент функционального назначения;</w:t>
      </w:r>
    </w:p>
    <w:p>
      <w:pPr>
        <w:spacing w:after="120"/>
        <w:ind w:firstLine="567"/>
        <w:jc w:val="both"/>
      </w:pPr>
      <w:r>
        <w:rPr>
          <w:rFonts w:ascii="Arial" w:cs="Arial" w:eastAsia="Arial" w:hAnsi="Arial"/>
          <w:b/>
          <w:bCs/>
          <w:sz w:val="24"/>
          <w:szCs w:val="24"/>
        </w:rPr>
        <w:t xml:space="preserve">К2</w:t>
      </w:r>
      <w:r>
        <w:rPr>
          <w:rFonts w:ascii="Arial" w:cs="Arial" w:eastAsia="Arial" w:hAnsi="Arial"/>
          <w:sz w:val="24"/>
          <w:szCs w:val="24"/>
        </w:rPr>
        <w:t xml:space="preserve">–зона экономического планирования.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Коэффициенты функциональных назначений </w:t>
      </w:r>
      <w:r>
        <w:rPr>
          <w:rFonts w:ascii="Arial" w:cs="Arial" w:eastAsia="Arial" w:hAnsi="Arial"/>
          <w:b/>
          <w:bCs/>
          <w:sz w:val="24"/>
          <w:szCs w:val="24"/>
        </w:rPr>
        <w:t xml:space="preserve">(К1):</w:t>
      </w:r>
    </w:p>
    <w:p>
      <w:pPr>
        <w:spacing w:after="120"/>
        <w:jc w:val="both"/>
      </w:pPr>
      <w:r>
        <w:rPr>
          <w:rFonts w:ascii="Arial" w:cs="Arial" w:eastAsia="Arial" w:hAnsi="Arial"/>
          <w:sz w:val="24"/>
          <w:szCs w:val="24"/>
        </w:rPr>
        <w:t xml:space="preserve">– карьеры: от </w:t>
      </w:r>
      <w:r>
        <w:rPr>
          <w:rFonts w:ascii="Arial" w:cs="Arial" w:eastAsia="Arial" w:hAnsi="Arial"/>
          <w:sz w:val="24"/>
          <w:szCs w:val="24"/>
        </w:rPr>
        <w:t xml:space="preserve">1 квадратного метра до 10 000 квадратных метров–1,0;</w:t>
      </w:r>
    </w:p>
    <w:p>
      <w:pPr>
        <w:spacing w:after="120"/>
        <w:jc w:val="both"/>
      </w:pPr>
      <w:r>
        <w:rPr>
          <w:rFonts w:ascii="Arial" w:cs="Arial" w:eastAsia="Arial" w:hAnsi="Arial"/>
          <w:sz w:val="24"/>
          <w:szCs w:val="24"/>
        </w:rPr>
        <w:t xml:space="preserve">от 10 001 квадратного метра до 30 000 квадратных метров–0,8;</w:t>
      </w:r>
    </w:p>
    <w:p>
      <w:pPr>
        <w:spacing w:after="120"/>
        <w:jc w:val="both"/>
      </w:pPr>
      <w:r>
        <w:rPr>
          <w:rFonts w:ascii="Arial" w:cs="Arial" w:eastAsia="Arial" w:hAnsi="Arial"/>
          <w:sz w:val="24"/>
          <w:szCs w:val="24"/>
        </w:rPr>
        <w:t xml:space="preserve">от 30 001 квадратного метра до 60 000 квадратных метров–0,6;</w:t>
      </w:r>
    </w:p>
    <w:p>
      <w:pPr>
        <w:spacing w:after="120"/>
        <w:jc w:val="both"/>
      </w:pPr>
      <w:r>
        <w:rPr>
          <w:rFonts w:ascii="Arial" w:cs="Arial" w:eastAsia="Arial" w:hAnsi="Arial"/>
          <w:sz w:val="24"/>
          <w:szCs w:val="24"/>
        </w:rPr>
        <w:t xml:space="preserve">от 60 001 квадратного метра и выше–0,4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горнодобывающие предприятия – 3;</w:t>
      </w:r>
    </w:p>
    <w:p>
      <w:pPr>
        <w:spacing w:after="120"/>
        <w:jc w:val="both"/>
      </w:pPr>
      <w:r>
        <w:rPr>
          <w:rFonts w:ascii="Arial" w:cs="Arial" w:eastAsia="Arial" w:hAnsi="Arial"/>
          <w:sz w:val="24"/>
          <w:szCs w:val="24"/>
        </w:rPr>
        <w:t xml:space="preserve">–детские развлекательные площадки– 4;</w:t>
      </w:r>
    </w:p>
    <w:p>
      <w:pPr>
        <w:spacing w:after="120"/>
        <w:jc w:val="both"/>
      </w:pPr>
      <w:r>
        <w:rPr>
          <w:rFonts w:ascii="Arial" w:cs="Arial" w:eastAsia="Arial" w:hAnsi="Arial"/>
          <w:sz w:val="24"/>
          <w:szCs w:val="24"/>
        </w:rPr>
        <w:t xml:space="preserve">–склады, складские предприятия, теневые навесы, футбольные площадки и катки– 5;</w:t>
      </w:r>
    </w:p>
    <w:p>
      <w:pPr>
        <w:spacing w:after="120"/>
        <w:jc w:val="both"/>
      </w:pPr>
      <w:r>
        <w:rPr>
          <w:rFonts w:ascii="Arial" w:cs="Arial" w:eastAsia="Arial" w:hAnsi="Arial"/>
          <w:sz w:val="24"/>
          <w:szCs w:val="24"/>
        </w:rPr>
        <w:t xml:space="preserve">–бассейны (с постройками и площадью) – 6;</w:t>
      </w:r>
    </w:p>
    <w:p>
      <w:pPr>
        <w:spacing w:after="120"/>
        <w:jc w:val="both"/>
      </w:pPr>
      <w:r>
        <w:rPr>
          <w:rFonts w:ascii="Arial" w:cs="Arial" w:eastAsia="Arial" w:hAnsi="Arial"/>
          <w:sz w:val="24"/>
          <w:szCs w:val="24"/>
        </w:rPr>
        <w:t xml:space="preserve">–гостевые автопарковочные стоянки, в соответствии занимаемой площади (таблица 1).</w:t>
      </w:r>
    </w:p>
    <w:p>
      <w:pPr>
        <w:spacing w:after="120"/>
        <w:ind w:firstLine="567"/>
        <w:jc w:val="both"/>
      </w:pPr>
      <w:r>
        <w:rPr>
          <w:rFonts w:ascii="Arial" w:cs="Arial" w:eastAsia="Arial" w:hAnsi="Arial"/>
          <w:b/>
          <w:bCs/>
          <w:sz w:val="24"/>
          <w:szCs w:val="24"/>
        </w:rPr>
        <w:t xml:space="preserve">Таблица №1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9"/>
        <w:gridCol w:w="2522"/>
        <w:gridCol w:w="2272"/>
        <w:gridCol w:w="2195"/>
      </w:tblGrid>
      <w:tr>
        <w:tc>
          <w:tcPr>
            <w:tcW w:type="dxa" w:w="31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площадь</w:t>
            </w:r>
          </w:p>
        </w:tc>
        <w:tc>
          <w:tcPr>
            <w:tcW w:type="dxa" w:w="2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квадратных метров</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 квадратных метров</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квадратного метра и выше</w:t>
            </w:r>
          </w:p>
        </w:tc>
      </w:tr>
      <w:tr>
        <w:tc>
          <w:tcPr>
            <w:tcW w:type="dxa" w:w="3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–временные ограждения, временные автостоянки, малые предприятия– 10;</w:t>
      </w:r>
    </w:p>
    <w:p>
      <w:pPr>
        <w:spacing w:after="120"/>
        <w:ind w:firstLine="567"/>
        <w:jc w:val="both"/>
      </w:pPr>
      <w:r>
        <w:rPr>
          <w:rFonts w:ascii="Arial" w:cs="Arial" w:eastAsia="Arial" w:hAnsi="Arial"/>
          <w:sz w:val="24"/>
          <w:szCs w:val="24"/>
        </w:rPr>
        <w:t xml:space="preserve">–торговые навесы– 12;</w:t>
      </w:r>
    </w:p>
    <w:p>
      <w:pPr>
        <w:spacing w:after="120"/>
        <w:ind w:firstLine="567"/>
        <w:jc w:val="both"/>
      </w:pPr>
      <w:r>
        <w:rPr>
          <w:rFonts w:ascii="Arial" w:cs="Arial" w:eastAsia="Arial" w:hAnsi="Arial"/>
          <w:sz w:val="24"/>
          <w:szCs w:val="24"/>
        </w:rPr>
        <w:t xml:space="preserve">–парикмахерские, мастерские по ремонту обуви– 14;</w:t>
      </w:r>
    </w:p>
    <w:p>
      <w:pPr>
        <w:spacing w:after="120"/>
        <w:ind w:firstLine="567"/>
        <w:jc w:val="both"/>
      </w:pPr>
      <w:r>
        <w:rPr>
          <w:rFonts w:ascii="Arial" w:cs="Arial" w:eastAsia="Arial" w:hAnsi="Arial"/>
          <w:sz w:val="24"/>
          <w:szCs w:val="24"/>
        </w:rPr>
        <w:t xml:space="preserve">–центральные </w:t>
      </w:r>
      <w:r>
        <w:rPr>
          <w:rFonts w:ascii="Arial" w:cs="Arial" w:eastAsia="Arial" w:hAnsi="Arial"/>
          <w:sz w:val="24"/>
          <w:szCs w:val="24"/>
        </w:rPr>
        <w:t xml:space="preserve">и мини рынки – 15;</w:t>
      </w:r>
    </w:p>
    <w:p>
      <w:pPr>
        <w:spacing w:after="120"/>
        <w:ind w:firstLine="567"/>
        <w:jc w:val="both"/>
      </w:pPr>
      <w:r>
        <w:rPr>
          <w:rFonts w:ascii="Arial" w:cs="Arial" w:eastAsia="Arial" w:hAnsi="Arial"/>
          <w:sz w:val="24"/>
          <w:szCs w:val="24"/>
        </w:rPr>
        <w:t xml:space="preserve">–лестницы– 20;</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торговые точки, пунктыобщественного питания, автосервисы, автомастерские, автозаправки, автомойки, гостиницы, гостевые дома,  офисы, торговые комплексы, компьютерные классы, переделанные </w:t>
      </w:r>
      <w:r>
        <w:rPr>
          <w:rFonts w:ascii="Arial" w:cs="Arial" w:eastAsia="Arial" w:hAnsi="Arial"/>
          <w:sz w:val="24"/>
          <w:szCs w:val="24"/>
        </w:rPr>
        <w:t xml:space="preserve">квартиры, </w:t>
      </w:r>
      <w:r>
        <w:rPr>
          <w:rFonts w:ascii="Arial" w:cs="Arial" w:eastAsia="Arial" w:hAnsi="Arial"/>
          <w:sz w:val="24"/>
          <w:szCs w:val="24"/>
        </w:rPr>
        <w:t xml:space="preserve">салоны красоты, бизнес–центры, пункты связи, аптеки и </w:t>
      </w:r>
      <w:r>
        <w:rPr>
          <w:rFonts w:ascii="Arial" w:cs="Arial" w:eastAsia="Arial" w:hAnsi="Arial"/>
          <w:sz w:val="24"/>
          <w:szCs w:val="24"/>
        </w:rPr>
        <w:t xml:space="preserve">объекты частного обслуживания, </w:t>
      </w:r>
      <w:r>
        <w:rPr>
          <w:rFonts w:ascii="Arial" w:cs="Arial" w:eastAsia="Arial" w:hAnsi="Arial"/>
          <w:sz w:val="24"/>
          <w:szCs w:val="24"/>
        </w:rPr>
        <w:t xml:space="preserve">газетные киоски, киоски, </w:t>
      </w:r>
      <w:r>
        <w:rPr>
          <w:rFonts w:ascii="Arial" w:cs="Arial" w:eastAsia="Arial" w:hAnsi="Arial"/>
          <w:sz w:val="24"/>
          <w:szCs w:val="24"/>
        </w:rPr>
        <w:t xml:space="preserve">ларьки, процедурные кабинеты, </w:t>
      </w:r>
      <w:r>
        <w:rPr>
          <w:rFonts w:ascii="Arial" w:cs="Arial" w:eastAsia="Arial" w:hAnsi="Arial"/>
          <w:sz w:val="24"/>
          <w:szCs w:val="24"/>
        </w:rPr>
        <w:t xml:space="preserve">бытовые услуги, в соответствии з</w:t>
      </w:r>
      <w:r>
        <w:rPr>
          <w:rFonts w:ascii="Arial" w:cs="Arial" w:eastAsia="Arial" w:hAnsi="Arial"/>
          <w:sz w:val="24"/>
          <w:szCs w:val="24"/>
        </w:rPr>
        <w:t xml:space="preserve">анимаемой площади (таблица 2).</w:t>
      </w:r>
    </w:p>
    <w:p>
      <w:pPr>
        <w:spacing w:after="120"/>
        <w:ind w:firstLine="709"/>
        <w:jc w:val="both"/>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2518"/>
        <w:gridCol w:w="2286"/>
        <w:gridCol w:w="2192"/>
      </w:tblGrid>
      <w:tr>
        <w:tc>
          <w:tcPr>
            <w:tcW w:type="dxa" w:w="31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площадь</w:t>
            </w:r>
          </w:p>
        </w:tc>
        <w:tc>
          <w:tcPr>
            <w:tcW w:type="dxa" w:w="2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квадратных метров</w:t>
            </w:r>
          </w:p>
        </w:tc>
        <w:tc>
          <w:tcPr>
            <w:tcW w:type="dxa" w:w="22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квадратного метра до 200 квадратных метров</w:t>
            </w:r>
          </w:p>
        </w:tc>
        <w:tc>
          <w:tcPr>
            <w:tcW w:type="dxa" w:w="21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201 квадратного метра и выше</w:t>
            </w:r>
          </w:p>
        </w:tc>
      </w:tr>
      <w:tr>
        <w:tc>
          <w:tcPr>
            <w:tcW w:type="dxa" w:w="3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ind w:firstLine="567"/>
        <w:jc w:val="both"/>
      </w:pPr>
      <w:r>
        <w:rPr>
          <w:rFonts w:ascii="Arial" w:cs="Arial" w:eastAsia="Arial" w:hAnsi="Arial"/>
          <w:sz w:val="24"/>
          <w:szCs w:val="24"/>
        </w:rPr>
        <w:t xml:space="preserve">Если, объекты с площадью более 101 квадратных метров разделены на две и более части (торговые места), то используется коэффициент– 30.</w:t>
      </w:r>
    </w:p>
    <w:p>
      <w:pPr>
        <w:spacing w:after="120"/>
        <w:ind w:firstLine="567"/>
        <w:jc w:val="both"/>
      </w:pPr>
      <w:r>
        <w:rPr>
          <w:rFonts w:ascii="Arial" w:cs="Arial" w:eastAsia="Arial" w:hAnsi="Arial"/>
          <w:sz w:val="24"/>
          <w:szCs w:val="24"/>
        </w:rPr>
        <w:t xml:space="preserve">–Земли (земельные участки), предоставленные во временное пользование на условиях аренды, находяшиеся вокруг центральных и мини рынков, в местах массового скопления людей, независимо от зоны нахождения, применяется зона 1 или за каждый квадратный метр (1м2) земельного участка арендная плата должна быть не менее 300 сом в месяц;</w:t>
      </w:r>
    </w:p>
    <w:p>
      <w:pPr>
        <w:spacing w:after="120"/>
        <w:ind w:firstLine="567"/>
        <w:jc w:val="both"/>
      </w:pPr>
      <w:r>
        <w:rPr>
          <w:rFonts w:ascii="Arial" w:cs="Arial" w:eastAsia="Arial" w:hAnsi="Arial"/>
          <w:sz w:val="24"/>
          <w:szCs w:val="24"/>
        </w:rPr>
        <w:t xml:space="preserve">–Банки, ломбарды, обменные пункты, аттракционы и карусели за квадратный метр (1м2) земельного участка арендная плата устанавливается не менее 300 сом в месяц;</w:t>
      </w:r>
    </w:p>
    <w:p>
      <w:pPr>
        <w:spacing w:after="120"/>
        <w:ind w:firstLine="567"/>
        <w:jc w:val="both"/>
      </w:pPr>
      <w:r>
        <w:rPr>
          <w:rFonts w:ascii="Arial" w:cs="Arial" w:eastAsia="Arial" w:hAnsi="Arial"/>
          <w:sz w:val="24"/>
          <w:szCs w:val="24"/>
        </w:rPr>
        <w:t xml:space="preserve">–Для газозаправочных станций за квадратный метр (1м2) земельного участка, арендная плата должна быть не менее 500 сом в месяц;</w:t>
      </w:r>
    </w:p>
    <w:p>
      <w:pPr>
        <w:spacing w:after="120"/>
        <w:ind w:firstLine="567"/>
        <w:jc w:val="both"/>
      </w:pPr>
      <w:r>
        <w:rPr>
          <w:rFonts w:ascii="Arial" w:cs="Arial" w:eastAsia="Arial" w:hAnsi="Arial"/>
          <w:sz w:val="24"/>
          <w:szCs w:val="24"/>
        </w:rPr>
        <w:t xml:space="preserve">–Арендная плата для вышек сотовой связи, не зависимо от местонахождения, должна быть не менее 18 000 сомов в месяц;</w:t>
      </w:r>
    </w:p>
    <w:p>
      <w:pPr>
        <w:spacing w:after="120"/>
        <w:ind w:firstLine="567"/>
        <w:jc w:val="both"/>
      </w:pPr>
      <w:r>
        <w:rPr>
          <w:rFonts w:ascii="Arial" w:cs="Arial" w:eastAsia="Arial" w:hAnsi="Arial"/>
          <w:sz w:val="24"/>
          <w:szCs w:val="24"/>
        </w:rPr>
        <w:t xml:space="preserve">–Терминалы, аппараты для разлива чистой питьевой воды, не зависимо от местонахождения, арендная плата должна быть не менее 2500 сом в месяц;</w:t>
      </w:r>
    </w:p>
    <w:p>
      <w:pPr>
        <w:spacing w:after="120"/>
        <w:ind w:firstLine="567"/>
        <w:jc w:val="both"/>
      </w:pPr>
      <w:r>
        <w:rPr>
          <w:rFonts w:ascii="Arial" w:cs="Arial" w:eastAsia="Arial" w:hAnsi="Arial"/>
          <w:sz w:val="24"/>
          <w:szCs w:val="24"/>
        </w:rPr>
        <w:t xml:space="preserve">– Для банкоматов, не зависимо от местонахождения, арендная плата должна быть не менее 6000 сомов в месяц;</w:t>
      </w:r>
    </w:p>
    <w:p>
      <w:pPr>
        <w:spacing w:after="120"/>
        <w:ind w:firstLine="567"/>
        <w:jc w:val="both"/>
      </w:pPr>
      <w:r>
        <w:rPr>
          <w:rFonts w:ascii="Arial" w:cs="Arial" w:eastAsia="Arial" w:hAnsi="Arial"/>
          <w:sz w:val="24"/>
          <w:szCs w:val="24"/>
        </w:rPr>
        <w:t xml:space="preserve">– Пункты зарядки электромобилей (зарядные аппараты/устройства),  не зависимо от местонахождения, арендная плата должна быть не менее 5000 сомов в месяц;  </w:t>
      </w:r>
    </w:p>
    <w:p>
      <w:pPr>
        <w:spacing w:after="120"/>
        <w:ind w:firstLine="567"/>
        <w:jc w:val="both"/>
      </w:pPr>
      <w:r>
        <w:rPr>
          <w:rFonts w:ascii="Arial" w:cs="Arial" w:eastAsia="Arial" w:hAnsi="Arial"/>
          <w:sz w:val="24"/>
          <w:szCs w:val="24"/>
        </w:rPr>
        <w:t xml:space="preserve">Так же, утверждается следующая табличная форма сезонной торговли. Если расположение земельного участка (сезонной точки) соответствует всем требованиям, то следует заключить договор аренды (на период сезонной торговли) сроком от одного до шести месяцев (таблица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
        <w:gridCol w:w="4104"/>
        <w:gridCol w:w="2655"/>
        <w:gridCol w:w="2654"/>
      </w:tblGrid>
      <w:tr>
        <w:tc>
          <w:tcPr>
            <w:tcW w:type="dxa" w:w="7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Торговое наименование</w:t>
            </w:r>
          </w:p>
        </w:tc>
        <w:tc>
          <w:tcPr>
            <w:tcW w:type="dxa" w:w="2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договора аренды/кол–во </w:t>
            </w:r>
          </w:p>
        </w:tc>
        <w:tc>
          <w:tcPr>
            <w:tcW w:type="dxa" w:w="2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аренды (сом)</w:t>
            </w:r>
          </w:p>
        </w:tc>
      </w:tr>
      <w:tr>
        <w:tc>
          <w:tcPr>
            <w:tcW w:type="dxa" w:w="76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10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Холодильники, установленные перед магазином </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2 единицы</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3 единицы</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от 4–х и более единиц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ударные автоматы (силомеры), электросамокаты, электромотоциклы</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машинки</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(разливные: максым, чалап, шербет)</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Промостойки (стол по продаже сим карт)</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за 1 единицу</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арбузов, дынь, овощей, фруктов и цветов</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до 10 м</w:t>
            </w:r>
            <w:r>
              <w:rPr>
                <w:rFonts w:ascii="Arial" w:cs="Arial" w:eastAsia="Arial" w:hAnsi="Arial"/>
                <w:sz w:val="24"/>
                <w:szCs w:val="24"/>
              </w:rPr>
              <w:t xml:space="preserve">2</w:t>
            </w:r>
            <w:r>
              <w:rPr>
                <w:rFonts w:ascii="Arial" w:cs="Arial" w:eastAsia="Arial" w:hAnsi="Arial"/>
                <w:sz w:val="24"/>
                <w:szCs w:val="24"/>
              </w:rPr>
              <w:t xml:space="preserve"> </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приготовления мороженых, коктейлей и газированных напитков, передвижные закусочные и т. д. гриль, тандыр, мангалы для шашлыков и другие сезонные уличные точки</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Паровозы (детская игровая)</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Нормативная ставка арендной платы по зонам– </w:t>
      </w:r>
      <w:r>
        <w:rPr>
          <w:rFonts w:ascii="Arial" w:cs="Arial" w:eastAsia="Arial" w:hAnsi="Arial"/>
          <w:b/>
          <w:bCs/>
          <w:sz w:val="24"/>
          <w:szCs w:val="24"/>
        </w:rPr>
        <w:t xml:space="preserve">К2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для зоны 1 – 2,8;</w:t>
      </w:r>
    </w:p>
    <w:p>
      <w:pPr>
        <w:spacing w:after="120"/>
        <w:ind w:firstLine="567"/>
        <w:jc w:val="both"/>
      </w:pPr>
      <w:r>
        <w:rPr>
          <w:rFonts w:ascii="Arial" w:cs="Arial" w:eastAsia="Arial" w:hAnsi="Arial"/>
          <w:sz w:val="24"/>
          <w:szCs w:val="24"/>
        </w:rPr>
        <w:t xml:space="preserve">– для зоны 2 – 2,4;</w:t>
      </w:r>
    </w:p>
    <w:p>
      <w:pPr>
        <w:spacing w:after="120"/>
        <w:ind w:firstLine="567"/>
        <w:jc w:val="both"/>
      </w:pPr>
      <w:r>
        <w:rPr>
          <w:rFonts w:ascii="Arial" w:cs="Arial" w:eastAsia="Arial" w:hAnsi="Arial"/>
          <w:sz w:val="24"/>
          <w:szCs w:val="24"/>
        </w:rPr>
        <w:t xml:space="preserve">– для зоны 3 – 2,0;</w:t>
      </w:r>
    </w:p>
    <w:p>
      <w:pPr>
        <w:spacing w:after="120"/>
        <w:ind w:firstLine="567"/>
        <w:jc w:val="both"/>
      </w:pPr>
      <w:r>
        <w:rPr>
          <w:rFonts w:ascii="Arial" w:cs="Arial" w:eastAsia="Arial" w:hAnsi="Arial"/>
          <w:sz w:val="24"/>
          <w:szCs w:val="24"/>
        </w:rPr>
        <w:t xml:space="preserve">– для зоны 4 – 1,8;</w:t>
      </w:r>
    </w:p>
    <w:p>
      <w:pPr>
        <w:spacing w:after="120"/>
        <w:ind w:firstLine="567"/>
        <w:jc w:val="both"/>
      </w:pPr>
      <w:r>
        <w:rPr>
          <w:rFonts w:ascii="Arial" w:cs="Arial" w:eastAsia="Arial" w:hAnsi="Arial"/>
          <w:sz w:val="24"/>
          <w:szCs w:val="24"/>
        </w:rPr>
        <w:t xml:space="preserve">– для зоны 5 – 1,4;</w:t>
      </w:r>
    </w:p>
    <w:p>
      <w:pPr>
        <w:spacing w:after="120"/>
        <w:ind w:firstLine="567"/>
        <w:jc w:val="both"/>
      </w:pPr>
      <w:r>
        <w:rPr>
          <w:rFonts w:ascii="Arial" w:cs="Arial" w:eastAsia="Arial" w:hAnsi="Arial"/>
          <w:sz w:val="24"/>
          <w:szCs w:val="24"/>
        </w:rPr>
        <w:t xml:space="preserve">– для зоны 6 – 1,2;</w:t>
      </w:r>
    </w:p>
    <w:p>
      <w:pPr>
        <w:spacing w:after="120"/>
        <w:ind w:firstLine="567"/>
        <w:jc w:val="both"/>
      </w:pPr>
      <w:r>
        <w:rPr>
          <w:rFonts w:ascii="Arial" w:cs="Arial" w:eastAsia="Arial" w:hAnsi="Arial"/>
          <w:sz w:val="24"/>
          <w:szCs w:val="24"/>
        </w:rPr>
        <w:t xml:space="preserve">– для зоны 7 – 0,9.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некоторым объектам, неуказанных в пункте К1, для нестроящихся объектов или строительство объекта завершилось, но не эксплуатируется, допускается применение коэффициента 2 для коэффициента К1. В этом случае, составляется акт о не эксплуатации объекта или письмо муниципального территориального управления мэрии города Ош.</w:t>
      </w:r>
    </w:p>
    <w:p>
      <w:pPr>
        <w:spacing w:after="120"/>
        <w:ind w:firstLine="567"/>
        <w:jc w:val="both"/>
      </w:pPr>
      <w:r>
        <w:rPr>
          <w:rFonts w:ascii="Arial" w:cs="Arial" w:eastAsia="Arial" w:hAnsi="Arial"/>
          <w:sz w:val="24"/>
          <w:szCs w:val="24"/>
        </w:rPr>
        <w:t xml:space="preserve">При расчете арендной платы за земельный участок, находящегося во временном пользовании, допускается увеличение арендной платы по согласованию с арендатором.</w:t>
      </w:r>
    </w:p>
    <w:p>
      <w:pPr>
        <w:spacing w:after="120"/>
        <w:ind w:firstLine="567"/>
        <w:jc w:val="both"/>
      </w:pPr>
      <w:r>
        <w:rPr>
          <w:rFonts w:ascii="Arial" w:cs="Arial" w:eastAsia="Arial" w:hAnsi="Arial"/>
          <w:sz w:val="24"/>
          <w:szCs w:val="24"/>
        </w:rPr>
        <w:t xml:space="preserve">Управление муниципальной собственности мэрии города Ош вправе продлить срок договора аренды земельного участка без заключения архитектуры, при условии если, ранее со стороны Ошского регионального управления по градостроительству и архитектуре выданозаключение или план земельного участка, при условии если назначение или площадь участка не менялся.</w:t>
      </w:r>
    </w:p>
    <w:p>
      <w:pPr>
        <w:spacing w:after="120"/>
        <w:ind w:firstLine="567"/>
        <w:jc w:val="both"/>
      </w:pPr>
      <w:r>
        <w:rPr>
          <w:rFonts w:ascii="Arial" w:cs="Arial" w:eastAsia="Arial" w:hAnsi="Arial"/>
          <w:sz w:val="24"/>
          <w:szCs w:val="24"/>
        </w:rPr>
        <w:t xml:space="preserve">В зависимости от площади благоустройства и озеленения (таблица №4):</w:t>
      </w:r>
    </w:p>
    <w:p>
      <w:pPr>
        <w:spacing w:after="120"/>
        <w:ind w:firstLine="567"/>
        <w:jc w:val="both"/>
      </w:pPr>
      <w:r>
        <w:rPr>
          <w:rFonts w:ascii="Arial" w:cs="Arial" w:eastAsia="Arial" w:hAnsi="Arial"/>
          <w:b/>
          <w:bCs/>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1"/>
        <w:gridCol w:w="1017"/>
        <w:gridCol w:w="1039"/>
        <w:gridCol w:w="1019"/>
        <w:gridCol w:w="1074"/>
        <w:gridCol w:w="1019"/>
        <w:gridCol w:w="993"/>
        <w:gridCol w:w="1757"/>
      </w:tblGrid>
      <w:tr>
        <w:tc>
          <w:tcPr>
            <w:tcW w:type="dxa" w:w="2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Благоустройство и озеленение (S)</w:t>
            </w:r>
          </w:p>
        </w:tc>
        <w:tc>
          <w:tcPr>
            <w:tcW w:type="dxa" w:w="1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w:t>
            </w:r>
          </w:p>
        </w:tc>
        <w:tc>
          <w:tcPr>
            <w:tcW w:type="dxa" w:w="1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51–200</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201–300</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301–500</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501–1000</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1001–5000</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5001 </w:t>
            </w:r>
          </w:p>
        </w:tc>
      </w:tr>
      <w:tr>
        <w:tc>
          <w:tcPr>
            <w:tcW w:type="dxa" w:w="2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ставка арендной платы: м2 (С)</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Апз = (SxC);</w:t>
      </w:r>
    </w:p>
    <w:p>
      <w:pPr>
        <w:spacing w:after="120"/>
        <w:ind w:firstLine="567"/>
        <w:jc w:val="both"/>
      </w:pPr>
      <w:r>
        <w:rPr>
          <w:rFonts w:ascii="Arial" w:cs="Arial" w:eastAsia="Arial" w:hAnsi="Arial"/>
          <w:sz w:val="24"/>
          <w:szCs w:val="24"/>
        </w:rPr>
        <w:t xml:space="preserve">Апз – размер ежемесячной арендной платы за земельный участок;</w:t>
      </w:r>
    </w:p>
    <w:p>
      <w:pPr>
        <w:spacing w:after="120"/>
        <w:ind w:firstLine="567"/>
        <w:jc w:val="both"/>
      </w:pPr>
      <w:r>
        <w:rPr>
          <w:rFonts w:ascii="Arial" w:cs="Arial" w:eastAsia="Arial" w:hAnsi="Arial"/>
          <w:sz w:val="24"/>
          <w:szCs w:val="24"/>
        </w:rPr>
        <w:t xml:space="preserve">S – площадь земельного участка;</w:t>
      </w:r>
    </w:p>
    <w:p>
      <w:pPr>
        <w:spacing w:after="360"/>
        <w:jc w:val="center"/>
      </w:pPr>
      <w:r>
        <w:rPr>
          <w:rFonts w:ascii="Arial" w:cs="Arial" w:eastAsia="Arial" w:hAnsi="Arial"/>
          <w:sz w:val="24"/>
          <w:szCs w:val="24"/>
        </w:rPr>
        <w:t xml:space="preserve">С – нормативная ставка арендной платы (сом. кв.м).</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 городского Кеңеша</w:t>
      </w:r>
      <w:r>
        <w:rPr>
          <w:rFonts w:ascii="Arial" w:cs="Arial" w:eastAsia="Arial" w:hAnsi="Arial"/>
          <w:sz w:val="24"/>
          <w:szCs w:val="24"/>
        </w:rPr>
        <w:t xml:space="preserve">	</w:t>
      </w:r>
      <w:r>
        <w:rPr>
          <w:rFonts w:ascii="Arial" w:cs="Arial" w:eastAsia="Arial" w:hAnsi="Arial"/>
          <w:b/>
          <w:bCs/>
          <w:sz w:val="24"/>
          <w:szCs w:val="24"/>
        </w:rPr>
        <w:t xml:space="preserve">И.Э. Абдыраимов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Приложение 2</w:t>
      </w:r>
      <w:r>
        <w:rPr>
          <w:rFonts w:ascii="Arial" w:cs="Arial" w:eastAsia="Arial" w:hAnsi="Arial"/>
          <w:sz w:val="20"/>
          <w:szCs w:val="20"/>
        </w:rPr>
        <w:t xml:space="preserve">      к постановлению VIсессии</w:t>
      </w:r>
      <w:r>
        <w:rPr>
          <w:rFonts w:ascii="Arial" w:cs="Arial" w:eastAsia="Arial" w:hAnsi="Arial"/>
          <w:sz w:val="20"/>
          <w:szCs w:val="20"/>
        </w:rPr>
        <w:t xml:space="preserve">Ошского городского Кенеша </w:t>
      </w:r>
      <w:r>
        <w:rPr>
          <w:rFonts w:ascii="Arial" w:cs="Arial" w:eastAsia="Arial" w:hAnsi="Arial"/>
          <w:sz w:val="20"/>
          <w:szCs w:val="20"/>
        </w:rPr>
        <w:t xml:space="preserve">№29 от 16 апреля 2025 года</w:t>
      </w:r>
    </w:p>
    <w:p>
      <w:pPr>
        <w:spacing w:after="60"/>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Карта экономико–планировочных зон</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№1:</w:t>
      </w:r>
    </w:p>
    <w:p>
      <w:pPr>
        <w:spacing w:after="120"/>
        <w:ind w:firstLine="567"/>
        <w:jc w:val="both"/>
      </w:pPr>
      <w:r>
        <w:rPr>
          <w:rFonts w:ascii="Arial" w:cs="Arial" w:eastAsia="Arial" w:hAnsi="Arial"/>
          <w:sz w:val="24"/>
          <w:szCs w:val="24"/>
        </w:rPr>
        <w:t xml:space="preserve">–пр.А.Масалиева (от пересечения с ул.А.Шакирова до пересечения с ул.Ж.Бабараимова);</w:t>
      </w:r>
    </w:p>
    <w:p>
      <w:pPr>
        <w:spacing w:after="120"/>
        <w:ind w:firstLine="567"/>
        <w:jc w:val="both"/>
      </w:pPr>
      <w:r>
        <w:rPr>
          <w:rFonts w:ascii="Arial" w:cs="Arial" w:eastAsia="Arial" w:hAnsi="Arial"/>
          <w:sz w:val="24"/>
          <w:szCs w:val="24"/>
        </w:rPr>
        <w:t xml:space="preserve">–ул.Ленина (от пересечения с ул.С.Вахаповой до пересечения с ул.С.Касымбекова);</w:t>
      </w:r>
    </w:p>
    <w:p>
      <w:pPr>
        <w:spacing w:after="120"/>
        <w:ind w:firstLine="567"/>
        <w:jc w:val="both"/>
      </w:pPr>
      <w:r>
        <w:rPr>
          <w:rFonts w:ascii="Arial" w:cs="Arial" w:eastAsia="Arial" w:hAnsi="Arial"/>
          <w:sz w:val="24"/>
          <w:szCs w:val="24"/>
        </w:rPr>
        <w:t xml:space="preserve">–ул. Курманжан Датка (от пересечения с ул.А.Суюмбаева до пересечения с ул. Б.Осмонова);</w:t>
      </w:r>
    </w:p>
    <w:p>
      <w:pPr>
        <w:spacing w:after="120"/>
        <w:ind w:firstLine="567"/>
        <w:jc w:val="both"/>
      </w:pPr>
      <w:r>
        <w:rPr>
          <w:rFonts w:ascii="Arial" w:cs="Arial" w:eastAsia="Arial" w:hAnsi="Arial"/>
          <w:sz w:val="24"/>
          <w:szCs w:val="24"/>
        </w:rPr>
        <w:t xml:space="preserve">–все внутренние улицы, находящиеся между улицами Курманжан Датка и Ленина;</w:t>
      </w:r>
    </w:p>
    <w:p>
      <w:pPr>
        <w:spacing w:after="120"/>
        <w:ind w:firstLine="567"/>
        <w:jc w:val="both"/>
      </w:pPr>
      <w:r>
        <w:rPr>
          <w:rFonts w:ascii="Arial" w:cs="Arial" w:eastAsia="Arial" w:hAnsi="Arial"/>
          <w:sz w:val="24"/>
          <w:szCs w:val="24"/>
        </w:rPr>
        <w:t xml:space="preserve">–ул.А.Шакирова (от пересечения с ул.Ташкентской до пересечения с ул.Ы.Монуева);</w:t>
      </w:r>
    </w:p>
    <w:p>
      <w:pPr>
        <w:spacing w:after="120"/>
        <w:ind w:firstLine="567"/>
        <w:jc w:val="both"/>
      </w:pPr>
      <w:r>
        <w:rPr>
          <w:rFonts w:ascii="Arial" w:cs="Arial" w:eastAsia="Arial" w:hAnsi="Arial"/>
          <w:sz w:val="24"/>
          <w:szCs w:val="24"/>
        </w:rPr>
        <w:t xml:space="preserve">–ул. Б.Осмонова (от пересечения с ул.Курманжан Датка до пересечения с ул. Кокум–Бий);</w:t>
      </w:r>
    </w:p>
    <w:p>
      <w:pPr>
        <w:spacing w:after="120"/>
        <w:ind w:firstLine="567"/>
        <w:jc w:val="both"/>
      </w:pPr>
      <w:r>
        <w:rPr>
          <w:rFonts w:ascii="Arial" w:cs="Arial" w:eastAsia="Arial" w:hAnsi="Arial"/>
          <w:sz w:val="24"/>
          <w:szCs w:val="24"/>
        </w:rPr>
        <w:t xml:space="preserve">–ул. Ы.Монуева (от административной границы г.Ош до пересечения с ул. Тилеке–Батыр);</w:t>
      </w:r>
    </w:p>
    <w:p>
      <w:pPr>
        <w:spacing w:after="120"/>
        <w:ind w:firstLine="567"/>
        <w:jc w:val="both"/>
      </w:pPr>
      <w:r>
        <w:rPr>
          <w:rFonts w:ascii="Arial" w:cs="Arial" w:eastAsia="Arial" w:hAnsi="Arial"/>
          <w:sz w:val="24"/>
          <w:szCs w:val="24"/>
        </w:rPr>
        <w:t xml:space="preserve">–ул.Г.Айтиева (от пересечения с ул.Ленина до пересечения с ул.Б.Осмонова);</w:t>
      </w:r>
    </w:p>
    <w:p>
      <w:pPr>
        <w:spacing w:after="120"/>
        <w:ind w:firstLine="567"/>
        <w:jc w:val="both"/>
      </w:pPr>
      <w:r>
        <w:rPr>
          <w:rFonts w:ascii="Arial" w:cs="Arial" w:eastAsia="Arial" w:hAnsi="Arial"/>
          <w:sz w:val="24"/>
          <w:szCs w:val="24"/>
        </w:rPr>
        <w:t xml:space="preserve">–ул. Р.Абдыкадырова (от пересечения с пр.А.Масалиева до пересечения с ул. Б.Осмонова);</w:t>
      </w:r>
    </w:p>
    <w:p>
      <w:pPr>
        <w:spacing w:after="120"/>
        <w:ind w:firstLine="567"/>
        <w:jc w:val="both"/>
      </w:pPr>
      <w:r>
        <w:rPr>
          <w:rFonts w:ascii="Arial" w:cs="Arial" w:eastAsia="Arial" w:hAnsi="Arial"/>
          <w:sz w:val="24"/>
          <w:szCs w:val="24"/>
        </w:rPr>
        <w:t xml:space="preserve">–ул.А.Навои (от пересечения с ул.Т.Турсунбаевой до пересечения с ул.Г.Айтиева);</w:t>
      </w:r>
    </w:p>
    <w:p>
      <w:pPr>
        <w:spacing w:after="120"/>
        <w:ind w:firstLine="567"/>
        <w:jc w:val="both"/>
      </w:pPr>
      <w:r>
        <w:rPr>
          <w:rFonts w:ascii="Arial" w:cs="Arial" w:eastAsia="Arial" w:hAnsi="Arial"/>
          <w:sz w:val="24"/>
          <w:szCs w:val="24"/>
        </w:rPr>
        <w:t xml:space="preserve">–ул.Ж.Раимбекова (от пересечения с пр.А.Масалиева до пересечения с ул.Карасуйской);</w:t>
      </w:r>
    </w:p>
    <w:p>
      <w:pPr>
        <w:spacing w:after="120"/>
        <w:ind w:firstLine="567"/>
        <w:jc w:val="both"/>
      </w:pPr>
      <w:r>
        <w:rPr>
          <w:rFonts w:ascii="Arial" w:cs="Arial" w:eastAsia="Arial" w:hAnsi="Arial"/>
          <w:sz w:val="24"/>
          <w:szCs w:val="24"/>
        </w:rPr>
        <w:t xml:space="preserve">–ул. Карасуйская (от пересечения с ул.Ж.Раимбекова до ул.Тилеке–Батыра (пересечения с ул. Ы.Монуева));</w:t>
      </w:r>
    </w:p>
    <w:p>
      <w:pPr>
        <w:spacing w:after="120"/>
        <w:ind w:firstLine="567"/>
        <w:jc w:val="both"/>
      </w:pPr>
      <w:r>
        <w:rPr>
          <w:rFonts w:ascii="Arial" w:cs="Arial" w:eastAsia="Arial" w:hAnsi="Arial"/>
          <w:sz w:val="24"/>
          <w:szCs w:val="24"/>
        </w:rPr>
        <w:t xml:space="preserve">–ул.Тилеке–Батыра (от пересечения с ул.Ы.Монуева до пересечения с ул.Б.Нурматова);</w:t>
      </w:r>
    </w:p>
    <w:p>
      <w:pPr>
        <w:spacing w:after="120"/>
        <w:ind w:firstLine="567"/>
        <w:jc w:val="both"/>
      </w:pPr>
      <w:r>
        <w:rPr>
          <w:rFonts w:ascii="Arial" w:cs="Arial" w:eastAsia="Arial" w:hAnsi="Arial"/>
          <w:sz w:val="24"/>
          <w:szCs w:val="24"/>
        </w:rPr>
        <w:t xml:space="preserve">–ул. Б.Осмонова (от пересечения с ул.Кокум–Бий до ресторана “Олигарх”, кафе “Нирвана”);</w:t>
      </w:r>
    </w:p>
    <w:p>
      <w:pPr>
        <w:spacing w:after="120"/>
        <w:ind w:firstLine="567"/>
        <w:jc w:val="both"/>
      </w:pPr>
      <w:r>
        <w:rPr>
          <w:rFonts w:ascii="Arial" w:cs="Arial" w:eastAsia="Arial" w:hAnsi="Arial"/>
          <w:sz w:val="24"/>
          <w:szCs w:val="24"/>
        </w:rPr>
        <w:t xml:space="preserve">–ул. Ж.Бабараимова (от пересечения с ул.М.Артыкова до пересечения с ул. Базарная);</w:t>
      </w:r>
    </w:p>
    <w:p>
      <w:pPr>
        <w:spacing w:after="120"/>
        <w:ind w:firstLine="567"/>
        <w:jc w:val="both"/>
      </w:pPr>
      <w:r>
        <w:rPr>
          <w:rFonts w:ascii="Arial" w:cs="Arial" w:eastAsia="Arial" w:hAnsi="Arial"/>
          <w:sz w:val="24"/>
          <w:szCs w:val="24"/>
        </w:rPr>
        <w:t xml:space="preserve">–ул. Ж.Шамшиева (от пересечения с ул.Тилеке–Батыра до пересечения с ул. А.Шакирова);</w:t>
      </w:r>
    </w:p>
    <w:p>
      <w:pPr>
        <w:spacing w:after="120"/>
        <w:ind w:firstLine="567"/>
        <w:jc w:val="both"/>
      </w:pPr>
      <w:r>
        <w:rPr>
          <w:rFonts w:ascii="Arial" w:cs="Arial" w:eastAsia="Arial" w:hAnsi="Arial"/>
          <w:sz w:val="24"/>
          <w:szCs w:val="24"/>
        </w:rPr>
        <w:t xml:space="preserve">–ул. А.Мамырова (от пересечения с ул.Курманжан Датка до пересечения с ул. Б.Осмонова);</w:t>
      </w:r>
    </w:p>
    <w:p>
      <w:pPr>
        <w:spacing w:after="120"/>
        <w:ind w:firstLine="567"/>
        <w:jc w:val="both"/>
      </w:pPr>
      <w:r>
        <w:rPr>
          <w:rFonts w:ascii="Arial" w:cs="Arial" w:eastAsia="Arial" w:hAnsi="Arial"/>
          <w:sz w:val="24"/>
          <w:szCs w:val="24"/>
        </w:rPr>
        <w:t xml:space="preserve">–ул.Амир–Тимура (от пересечения с ул. А.Мамырова до пересечения с ул.Г.Айтиева);</w:t>
      </w:r>
    </w:p>
    <w:p>
      <w:pPr>
        <w:spacing w:after="120"/>
        <w:ind w:firstLine="567"/>
        <w:jc w:val="both"/>
      </w:pPr>
      <w:r>
        <w:rPr>
          <w:rFonts w:ascii="Arial" w:cs="Arial" w:eastAsia="Arial" w:hAnsi="Arial"/>
          <w:sz w:val="24"/>
          <w:szCs w:val="24"/>
        </w:rPr>
        <w:t xml:space="preserve">–ул.Кокум–Бий (от пересечения с ул.Б.Осмонова до ресторанно–гостиничного комплекса “Жаннат”);</w:t>
      </w:r>
    </w:p>
    <w:p>
      <w:pPr>
        <w:spacing w:after="120"/>
        <w:ind w:firstLine="567"/>
        <w:jc w:val="both"/>
      </w:pPr>
      <w:r>
        <w:rPr>
          <w:rFonts w:ascii="Arial" w:cs="Arial" w:eastAsia="Arial" w:hAnsi="Arial"/>
          <w:sz w:val="24"/>
          <w:szCs w:val="24"/>
        </w:rPr>
        <w:t xml:space="preserve">–ул. Н.Исанова (от пересечения с ул.Ташкентской до конечной остановки троллейбусной линии);</w:t>
      </w:r>
    </w:p>
    <w:p>
      <w:pPr>
        <w:spacing w:after="120"/>
        <w:ind w:firstLine="567"/>
        <w:jc w:val="both"/>
      </w:pPr>
      <w:r>
        <w:rPr>
          <w:rFonts w:ascii="Arial" w:cs="Arial" w:eastAsia="Arial" w:hAnsi="Arial"/>
          <w:sz w:val="24"/>
          <w:szCs w:val="24"/>
        </w:rPr>
        <w:t xml:space="preserve">–пр. И.Раззакова (от пересечения с ул. Ж.Бабараимова до пересечения с ул.У.Салиевой);</w:t>
      </w:r>
    </w:p>
    <w:p>
      <w:pPr>
        <w:spacing w:after="120"/>
        <w:ind w:firstLine="567"/>
        <w:jc w:val="both"/>
      </w:pPr>
      <w:r>
        <w:rPr>
          <w:rFonts w:ascii="Arial" w:cs="Arial" w:eastAsia="Arial" w:hAnsi="Arial"/>
          <w:sz w:val="24"/>
          <w:szCs w:val="24"/>
        </w:rPr>
        <w:t xml:space="preserve">–парки имени А.Навои, имени Токтогула, имени Кемаля Ата турка, сквер “Космонавтов”, сквер Чинар–Терек, сквер “Каныкей”, сквер “Ак–Ниет”, сквер “Мээрим”, сквер “Жениш”);</w:t>
      </w:r>
    </w:p>
    <w:p>
      <w:pPr>
        <w:spacing w:after="120"/>
        <w:ind w:firstLine="567"/>
        <w:jc w:val="both"/>
      </w:pPr>
      <w:r>
        <w:rPr>
          <w:rFonts w:ascii="Arial" w:cs="Arial" w:eastAsia="Arial" w:hAnsi="Arial"/>
          <w:sz w:val="24"/>
          <w:szCs w:val="24"/>
        </w:rPr>
        <w:t xml:space="preserve">–ул. Базарная, ул. Шамшат, ул. Т.Турсунбаевой, ул. Кулигова (окрестности пограничного контрольно–пропускного пункта “Достук”), ул.Верхне–Увамская, ул. Сай–Бою, ул. С.Вахаповой;</w:t>
      </w:r>
    </w:p>
    <w:p>
      <w:pPr>
        <w:spacing w:after="120"/>
        <w:ind w:firstLine="567"/>
        <w:jc w:val="both"/>
      </w:pPr>
      <w:r>
        <w:rPr>
          <w:rFonts w:ascii="Arial" w:cs="Arial" w:eastAsia="Arial" w:hAnsi="Arial"/>
          <w:sz w:val="24"/>
          <w:szCs w:val="24"/>
        </w:rPr>
        <w:t xml:space="preserve">–окрестности Ошской областной клинической больницы;</w:t>
      </w:r>
    </w:p>
    <w:p>
      <w:pPr>
        <w:spacing w:after="120"/>
        <w:ind w:firstLine="567"/>
        <w:jc w:val="both"/>
      </w:pPr>
      <w:r>
        <w:rPr>
          <w:rFonts w:ascii="Arial" w:cs="Arial" w:eastAsia="Arial" w:hAnsi="Arial"/>
          <w:sz w:val="24"/>
          <w:szCs w:val="24"/>
        </w:rPr>
        <w:t xml:space="preserve">–окрестности автовокзала по адресу ул.Ленина, №942;</w:t>
      </w:r>
    </w:p>
    <w:p>
      <w:pPr>
        <w:spacing w:after="120"/>
        <w:ind w:firstLine="567"/>
        <w:jc w:val="both"/>
      </w:pPr>
      <w:r>
        <w:rPr>
          <w:rFonts w:ascii="Arial" w:cs="Arial" w:eastAsia="Arial" w:hAnsi="Arial"/>
          <w:sz w:val="24"/>
          <w:szCs w:val="24"/>
        </w:rPr>
        <w:t xml:space="preserve">–окрестности ГорГАИ (Патрульной службы милиции управления внутренних дел по городу Ош) по адресу ул.С.Касымбекова;</w:t>
      </w:r>
    </w:p>
    <w:p>
      <w:pPr>
        <w:spacing w:after="120"/>
        <w:ind w:firstLine="567"/>
        <w:jc w:val="both"/>
      </w:pPr>
      <w:r>
        <w:rPr>
          <w:rFonts w:ascii="Arial" w:cs="Arial" w:eastAsia="Arial" w:hAnsi="Arial"/>
          <w:sz w:val="24"/>
          <w:szCs w:val="24"/>
        </w:rPr>
        <w:t xml:space="preserve">–окрестности жилого комплекса “Ош–Сити”;</w:t>
      </w:r>
    </w:p>
    <w:p>
      <w:pPr>
        <w:spacing w:after="120"/>
        <w:ind w:firstLine="567"/>
        <w:jc w:val="both"/>
      </w:pPr>
      <w:r>
        <w:rPr>
          <w:rFonts w:ascii="Arial" w:cs="Arial" w:eastAsia="Arial" w:hAnsi="Arial"/>
          <w:sz w:val="24"/>
          <w:szCs w:val="24"/>
        </w:rPr>
        <w:t xml:space="preserve">–ул. А.Алимжанова (гипермаркет “Азия”).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№2</w:t>
      </w:r>
    </w:p>
    <w:p>
      <w:pPr>
        <w:spacing w:after="120"/>
        <w:ind w:firstLine="567"/>
        <w:jc w:val="both"/>
      </w:pPr>
      <w:r>
        <w:rPr>
          <w:rFonts w:ascii="Arial" w:cs="Arial" w:eastAsia="Arial" w:hAnsi="Arial"/>
          <w:sz w:val="24"/>
          <w:szCs w:val="24"/>
        </w:rPr>
        <w:t xml:space="preserve">–ул. У.Салиевой (от пересечения с пр. И.Раззакова до пересечения с ул.Жийделик);</w:t>
      </w:r>
    </w:p>
    <w:p>
      <w:pPr>
        <w:spacing w:after="120"/>
        <w:ind w:firstLine="567"/>
        <w:jc w:val="both"/>
      </w:pPr>
      <w:r>
        <w:rPr>
          <w:rFonts w:ascii="Arial" w:cs="Arial" w:eastAsia="Arial" w:hAnsi="Arial"/>
          <w:sz w:val="24"/>
          <w:szCs w:val="24"/>
        </w:rPr>
        <w:t xml:space="preserve">–окрестности маркета “Самат”, находящегося на перекрестке улиц Жийделик и У.Салиевой (ул. М.Токсонбаева, №1);</w:t>
      </w:r>
    </w:p>
    <w:p>
      <w:pPr>
        <w:spacing w:after="120"/>
        <w:ind w:firstLine="567"/>
        <w:jc w:val="both"/>
      </w:pPr>
      <w:r>
        <w:rPr>
          <w:rFonts w:ascii="Arial" w:cs="Arial" w:eastAsia="Arial" w:hAnsi="Arial"/>
          <w:sz w:val="24"/>
          <w:szCs w:val="24"/>
        </w:rPr>
        <w:t xml:space="preserve">–ул.Б.Нурматова (от пересечения с ул. Ленина до пересечения с пр.А.Масалиева);</w:t>
      </w:r>
    </w:p>
    <w:p>
      <w:pPr>
        <w:spacing w:after="120"/>
        <w:ind w:firstLine="567"/>
        <w:jc w:val="both"/>
      </w:pPr>
      <w:r>
        <w:rPr>
          <w:rFonts w:ascii="Arial" w:cs="Arial" w:eastAsia="Arial" w:hAnsi="Arial"/>
          <w:sz w:val="24"/>
          <w:szCs w:val="24"/>
        </w:rPr>
        <w:t xml:space="preserve">–ул.Санкт–Петербуржская, окрестности мини рынка;</w:t>
      </w:r>
    </w:p>
    <w:p>
      <w:pPr>
        <w:spacing w:after="120"/>
        <w:ind w:firstLine="567"/>
        <w:jc w:val="both"/>
      </w:pPr>
      <w:r>
        <w:rPr>
          <w:rFonts w:ascii="Arial" w:cs="Arial" w:eastAsia="Arial" w:hAnsi="Arial"/>
          <w:sz w:val="24"/>
          <w:szCs w:val="24"/>
        </w:rPr>
        <w:t xml:space="preserve">–ул. Абакир уулу Торобек (от пересечения с ул. Н.Исанова до конечной остановки маршрутки №102);</w:t>
      </w:r>
    </w:p>
    <w:p>
      <w:pPr>
        <w:spacing w:after="120"/>
        <w:ind w:firstLine="567"/>
        <w:jc w:val="both"/>
      </w:pPr>
      <w:r>
        <w:rPr>
          <w:rFonts w:ascii="Arial" w:cs="Arial" w:eastAsia="Arial" w:hAnsi="Arial"/>
          <w:sz w:val="24"/>
          <w:szCs w:val="24"/>
        </w:rPr>
        <w:t xml:space="preserve">–внутренние кварталы мкр.Анар;</w:t>
      </w:r>
    </w:p>
    <w:p>
      <w:pPr>
        <w:spacing w:after="120"/>
        <w:ind w:firstLine="567"/>
        <w:jc w:val="both"/>
      </w:pPr>
      <w:r>
        <w:rPr>
          <w:rFonts w:ascii="Arial" w:cs="Arial" w:eastAsia="Arial" w:hAnsi="Arial"/>
          <w:sz w:val="24"/>
          <w:szCs w:val="24"/>
        </w:rPr>
        <w:t xml:space="preserve">–улицы С.Айни, №101, Имам–Ата, Целинная МТУ Жибек–Жолу.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№3</w:t>
      </w:r>
    </w:p>
    <w:p>
      <w:pPr>
        <w:spacing w:after="120"/>
        <w:ind w:firstLine="567"/>
        <w:jc w:val="both"/>
      </w:pPr>
      <w:r>
        <w:rPr>
          <w:rFonts w:ascii="Arial" w:cs="Arial" w:eastAsia="Arial" w:hAnsi="Arial"/>
          <w:sz w:val="24"/>
          <w:szCs w:val="24"/>
        </w:rPr>
        <w:t xml:space="preserve">–пр. И.Раззакова (от пересечения с ул. У.Салиевой, ориентир “КИСБ банк”, до железнодородного переезда);</w:t>
      </w:r>
    </w:p>
    <w:p>
      <w:pPr>
        <w:spacing w:after="120"/>
        <w:ind w:firstLine="567"/>
        <w:jc w:val="both"/>
      </w:pPr>
      <w:r>
        <w:rPr>
          <w:rFonts w:ascii="Arial" w:cs="Arial" w:eastAsia="Arial" w:hAnsi="Arial"/>
          <w:sz w:val="24"/>
          <w:szCs w:val="24"/>
        </w:rPr>
        <w:t xml:space="preserve">–ул. У.Салиевой (от пересечения с ул. Жийделик до пересечения с ул.С.Касымбекова);</w:t>
      </w:r>
    </w:p>
    <w:p>
      <w:pPr>
        <w:spacing w:after="120"/>
        <w:ind w:firstLine="567"/>
        <w:jc w:val="both"/>
      </w:pPr>
      <w:r>
        <w:rPr>
          <w:rFonts w:ascii="Arial" w:cs="Arial" w:eastAsia="Arial" w:hAnsi="Arial"/>
          <w:sz w:val="24"/>
          <w:szCs w:val="24"/>
        </w:rPr>
        <w:t xml:space="preserve">–улицы А.Осконалиева, Ш.Руставели, Краснофлотская, Н.Байтемирова, Урицкого (окрестности Ошского межобластного перинатального центра, ОблСЭС);</w:t>
      </w:r>
    </w:p>
    <w:p>
      <w:pPr>
        <w:spacing w:after="120"/>
        <w:ind w:firstLine="567"/>
        <w:jc w:val="both"/>
      </w:pPr>
      <w:r>
        <w:rPr>
          <w:rFonts w:ascii="Arial" w:cs="Arial" w:eastAsia="Arial" w:hAnsi="Arial"/>
          <w:sz w:val="24"/>
          <w:szCs w:val="24"/>
        </w:rPr>
        <w:t xml:space="preserve">–внутренние кварталы микрорайона Т.Кулатова;</w:t>
      </w:r>
    </w:p>
    <w:p>
      <w:pPr>
        <w:spacing w:after="120"/>
        <w:ind w:firstLine="567"/>
        <w:jc w:val="both"/>
      </w:pPr>
      <w:r>
        <w:rPr>
          <w:rFonts w:ascii="Arial" w:cs="Arial" w:eastAsia="Arial" w:hAnsi="Arial"/>
          <w:sz w:val="24"/>
          <w:szCs w:val="24"/>
        </w:rPr>
        <w:t xml:space="preserve">–ул. Кокум–Бий (от ресторанно–гостиничного комплекса “Жаннат” до пересечения с ул.Каримова);</w:t>
      </w:r>
    </w:p>
    <w:p>
      <w:pPr>
        <w:spacing w:after="120"/>
        <w:ind w:firstLine="567"/>
        <w:jc w:val="both"/>
      </w:pPr>
      <w:r>
        <w:rPr>
          <w:rFonts w:ascii="Arial" w:cs="Arial" w:eastAsia="Arial" w:hAnsi="Arial"/>
          <w:sz w:val="24"/>
          <w:szCs w:val="24"/>
        </w:rPr>
        <w:t xml:space="preserve">–ул. Ошская, ул. Джим;</w:t>
      </w:r>
    </w:p>
    <w:p>
      <w:pPr>
        <w:spacing w:after="120"/>
        <w:ind w:firstLine="567"/>
        <w:jc w:val="both"/>
      </w:pPr>
      <w:r>
        <w:rPr>
          <w:rFonts w:ascii="Arial" w:cs="Arial" w:eastAsia="Arial" w:hAnsi="Arial"/>
          <w:sz w:val="24"/>
          <w:szCs w:val="24"/>
        </w:rPr>
        <w:t xml:space="preserve">–населенные пункты МТУ Сулайман–Тоо;</w:t>
      </w:r>
    </w:p>
    <w:p>
      <w:pPr>
        <w:spacing w:after="120"/>
        <w:ind w:firstLine="567"/>
        <w:jc w:val="both"/>
      </w:pPr>
      <w:r>
        <w:rPr>
          <w:rFonts w:ascii="Arial" w:cs="Arial" w:eastAsia="Arial" w:hAnsi="Arial"/>
          <w:sz w:val="24"/>
          <w:szCs w:val="24"/>
        </w:rPr>
        <w:t xml:space="preserve">–населенные пункты МТУ Курманжан Датка;</w:t>
      </w:r>
    </w:p>
    <w:p>
      <w:pPr>
        <w:spacing w:after="120"/>
        <w:ind w:firstLine="567"/>
        <w:jc w:val="both"/>
      </w:pPr>
      <w:r>
        <w:rPr>
          <w:rFonts w:ascii="Arial" w:cs="Arial" w:eastAsia="Arial" w:hAnsi="Arial"/>
          <w:sz w:val="24"/>
          <w:szCs w:val="24"/>
        </w:rPr>
        <w:t xml:space="preserve">–населенные пункты МТУ Алымбек Датка;</w:t>
      </w:r>
    </w:p>
    <w:p>
      <w:pPr>
        <w:spacing w:after="120"/>
        <w:ind w:firstLine="567"/>
        <w:jc w:val="both"/>
      </w:pPr>
      <w:r>
        <w:rPr>
          <w:rFonts w:ascii="Arial" w:cs="Arial" w:eastAsia="Arial" w:hAnsi="Arial"/>
          <w:sz w:val="24"/>
          <w:szCs w:val="24"/>
        </w:rPr>
        <w:t xml:space="preserve">–ул. Ж.Мамытова (от пересечения с ул.Ленина до средней школы имени Ж.Мамытова) СТУ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№4</w:t>
      </w:r>
    </w:p>
    <w:p>
      <w:pPr>
        <w:spacing w:after="120"/>
        <w:ind w:firstLine="567"/>
        <w:jc w:val="both"/>
      </w:pPr>
      <w:r>
        <w:rPr>
          <w:rFonts w:ascii="Arial" w:cs="Arial" w:eastAsia="Arial" w:hAnsi="Arial"/>
          <w:sz w:val="24"/>
          <w:szCs w:val="24"/>
        </w:rPr>
        <w:t xml:space="preserve">–внутренние кварталы МТУ Манас–Ата, населенные пункты МТУ Манас–Ата, присоединенные к г.Ош после административно–территориальной реформы;</w:t>
      </w:r>
    </w:p>
    <w:p>
      <w:pPr>
        <w:spacing w:after="120"/>
        <w:ind w:firstLine="567"/>
        <w:jc w:val="both"/>
      </w:pPr>
      <w:r>
        <w:rPr>
          <w:rFonts w:ascii="Arial" w:cs="Arial" w:eastAsia="Arial" w:hAnsi="Arial"/>
          <w:sz w:val="24"/>
          <w:szCs w:val="24"/>
        </w:rPr>
        <w:t xml:space="preserve">– населенные пункты МТУ Керме–Тоо;</w:t>
      </w:r>
    </w:p>
    <w:p>
      <w:pPr>
        <w:spacing w:after="120"/>
        <w:ind w:firstLine="567"/>
        <w:jc w:val="both"/>
      </w:pPr>
      <w:r>
        <w:rPr>
          <w:rFonts w:ascii="Arial" w:cs="Arial" w:eastAsia="Arial" w:hAnsi="Arial"/>
          <w:sz w:val="24"/>
          <w:szCs w:val="24"/>
        </w:rPr>
        <w:t xml:space="preserve">–ул.С.Касымбекова (от пересечения с пр. И.Раззакова до ГорГАИ/патрульной службы милиции управления внутренних дел по городу Ош);</w:t>
      </w:r>
    </w:p>
    <w:p>
      <w:pPr>
        <w:spacing w:after="120"/>
        <w:ind w:firstLine="567"/>
        <w:jc w:val="both"/>
      </w:pPr>
      <w:r>
        <w:rPr>
          <w:rFonts w:ascii="Arial" w:cs="Arial" w:eastAsia="Arial" w:hAnsi="Arial"/>
          <w:sz w:val="24"/>
          <w:szCs w:val="24"/>
        </w:rPr>
        <w:t xml:space="preserve">–ул. Артыкова;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№5</w:t>
      </w:r>
    </w:p>
    <w:p>
      <w:pPr>
        <w:spacing w:after="120"/>
        <w:ind w:firstLine="567"/>
        <w:jc w:val="both"/>
      </w:pPr>
      <w:r>
        <w:rPr>
          <w:rFonts w:ascii="Arial" w:cs="Arial" w:eastAsia="Arial" w:hAnsi="Arial"/>
          <w:sz w:val="24"/>
          <w:szCs w:val="24"/>
        </w:rPr>
        <w:t xml:space="preserve">–Авиагородок (населенный пункт рядом с международным аэропортом г.Ош);</w:t>
      </w:r>
    </w:p>
    <w:p>
      <w:pPr>
        <w:spacing w:after="120"/>
        <w:ind w:firstLine="567"/>
        <w:jc w:val="both"/>
      </w:pPr>
      <w:r>
        <w:rPr>
          <w:rFonts w:ascii="Arial" w:cs="Arial" w:eastAsia="Arial" w:hAnsi="Arial"/>
          <w:sz w:val="24"/>
          <w:szCs w:val="24"/>
        </w:rPr>
        <w:t xml:space="preserve">– населенные пункты МТУ Жибек–Жолу;</w:t>
      </w:r>
    </w:p>
    <w:p>
      <w:pPr>
        <w:spacing w:after="120"/>
        <w:ind w:firstLine="567"/>
        <w:jc w:val="both"/>
      </w:pPr>
      <w:r>
        <w:rPr>
          <w:rFonts w:ascii="Arial" w:cs="Arial" w:eastAsia="Arial" w:hAnsi="Arial"/>
          <w:sz w:val="24"/>
          <w:szCs w:val="24"/>
        </w:rPr>
        <w:t xml:space="preserve">– населенные пункты СТУ Жапалак;</w:t>
      </w:r>
    </w:p>
    <w:p>
      <w:pPr>
        <w:spacing w:after="120"/>
        <w:ind w:firstLine="567"/>
        <w:jc w:val="both"/>
      </w:pPr>
      <w:r>
        <w:rPr>
          <w:rFonts w:ascii="Arial" w:cs="Arial" w:eastAsia="Arial" w:hAnsi="Arial"/>
          <w:sz w:val="24"/>
          <w:szCs w:val="24"/>
        </w:rPr>
        <w:t xml:space="preserve">–населенные пункты СТУ Кызыл–Кыштак (Суроттуу–Таш, с.Ишкаван, с.Коммунист);</w:t>
      </w:r>
    </w:p>
    <w:p>
      <w:pPr>
        <w:spacing w:after="120"/>
        <w:ind w:firstLine="567"/>
        <w:jc w:val="both"/>
      </w:pPr>
      <w:r>
        <w:rPr>
          <w:rFonts w:ascii="Arial" w:cs="Arial" w:eastAsia="Arial" w:hAnsi="Arial"/>
          <w:sz w:val="24"/>
          <w:szCs w:val="24"/>
        </w:rPr>
        <w:t xml:space="preserve">– населенные пункты СТУ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№6</w:t>
      </w:r>
    </w:p>
    <w:p>
      <w:pPr>
        <w:spacing w:after="120"/>
        <w:ind w:firstLine="567"/>
        <w:jc w:val="both"/>
      </w:pPr>
      <w:r>
        <w:rPr>
          <w:rFonts w:ascii="Arial" w:cs="Arial" w:eastAsia="Arial" w:hAnsi="Arial"/>
          <w:sz w:val="24"/>
          <w:szCs w:val="24"/>
        </w:rPr>
        <w:t xml:space="preserve">–не названные улицы муниципальных территориальных управлений Курманжан Датка, Манас–ата, Жибек–Жолу, Алымбек Датка, Керме–Тоо, сельских территориальных управлений Жапалак, Кызыл–Кыштак, Толойкон.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Зона №7 </w:t>
      </w:r>
    </w:p>
    <w:p>
      <w:pPr>
        <w:spacing w:after="120"/>
        <w:ind w:firstLine="567"/>
        <w:jc w:val="both"/>
      </w:pPr>
      <w:r>
        <w:rPr>
          <w:rFonts w:ascii="Arial" w:cs="Arial" w:eastAsia="Arial" w:hAnsi="Arial"/>
          <w:sz w:val="24"/>
          <w:szCs w:val="24"/>
        </w:rPr>
        <w:t xml:space="preserve">–участок Эдельвейс;</w:t>
      </w:r>
    </w:p>
    <w:p>
      <w:pPr>
        <w:spacing w:after="360"/>
        <w:jc w:val="center"/>
      </w:pPr>
      <w:r>
        <w:rPr>
          <w:rFonts w:ascii="Arial" w:cs="Arial" w:eastAsia="Arial" w:hAnsi="Arial"/>
          <w:sz w:val="24"/>
          <w:szCs w:val="24"/>
        </w:rPr>
        <w:t xml:space="preserve">–не названные местности в окрестностях города Ош.</w:t>
      </w:r>
    </w:p>
    <w:p>
      <w:pPr>
        <w:spacing w:after="3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 городского Кеңеша</w:t>
      </w:r>
      <w:r>
        <w:rPr>
          <w:rFonts w:ascii="Arial" w:cs="Arial" w:eastAsia="Arial" w:hAnsi="Arial"/>
          <w:sz w:val="24"/>
          <w:szCs w:val="24"/>
        </w:rPr>
        <w:t xml:space="preserve">	</w:t>
      </w:r>
      <w:r>
        <w:rPr>
          <w:rFonts w:ascii="Arial" w:cs="Arial" w:eastAsia="Arial" w:hAnsi="Arial"/>
          <w:b/>
          <w:bCs/>
          <w:sz w:val="24"/>
          <w:szCs w:val="24"/>
        </w:rPr>
        <w:t xml:space="preserve">И.Э. Абдыраимов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fg2bjomji0awqb1jzmx">
      <w:r>
        <w:rPr>
          <w:rFonts w:ascii="Arial" w:cs="Arial" w:eastAsia="Arial" w:hAnsi="Arial"/>
          <w:color w:val="132D3F"/>
          <w:sz w:val="16"/>
          <w:szCs w:val="16"/>
          <w:u w:val="single"/>
        </w:rPr>
        <w:t xml:space="preserve">dalil.kg/document/230025704</w:t>
      </w:r>
    </w:hyperlink>
  </w:p>
  <w:p>
    <w:pPr>
      <w:spacing w:after="0" w:before="40"/>
      <w:jc w:val="center"/>
    </w:pPr>
    <w:hyperlink w:history="1" r:id="rIdckwl1lsaa-5nmh2lxe1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fg2bjomji0awqb1jzmx" Type="http://schemas.openxmlformats.org/officeDocument/2006/relationships/hyperlink" Target="https://dalil.kg/document/230025704" TargetMode="External"/><Relationship Id="rIdckwl1lsaa-5nmh2lxe1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2026-09-27T23:22:14.944Z</dcterms:created>
  <dcterms:modified xsi:type="dcterms:W3CDTF">2026-09-27T23:22:14.945Z</dcterms:modified>
</cp:coreProperties>
</file>

<file path=docProps/custom.xml><?xml version="1.0" encoding="utf-8"?>
<Properties xmlns="http://schemas.openxmlformats.org/officeDocument/2006/custom-properties" xmlns:vt="http://schemas.openxmlformats.org/officeDocument/2006/docPropsVTypes"/>
</file>