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 НАЦИОНАЛЬНОГО БАНКА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 2024 года № 2024-П-12/66-1-(НПА)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Правил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4dsgewawxeqvoggif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okwfash8pbeeym89h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radgzchrppeacxws-2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r6bsyeqvebkspyegkh_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qgjkhupw4jx3un4hj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3 (трех) рабочих дней со дня официального опубликования довести настоящее постановление до сведения Объединения юридических лиц "Ассоциация микрофинансовых организаций" и микрофинансовых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надзора за небанковскими организациями,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11 декабря 2024 года № 2024-П-12/66-1-(НПА)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Правил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dim4bbhgjs1outd-zw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x4ombxvrhxujpospqy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ua_whxmwfafcbheeb7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финансирования, утвержденного вышеуказанным </w:t>
      </w:r>
      <w:hyperlink w:history="1" r:id="rIdgwzymvq0sjxo-katet9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4qodjw_wwajg7pdvo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первой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Настоящие Правила регулируют деятельность лицензируемых и регулируемых Национальным банком Кыргызской Республики микрофинансовых организаций, осуществляющих операции по исламским принципам банковского дела и финансирования (далее - Правила), в том числе микрофинансовых организаций, имеющих "исламское окно" (далее - МФО).";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МФО могут устанавливать более высокие требования по экономическим нормативам, согласно своей внутренней политике управления рисками, не нарушая при этом значения, установленные для МФО в нормативных правовых актах Национального банка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"Микрофинансовые организации" заменить словом "МФО";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8-2 изложить в следующей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МФО, занимающейся оптовым финансированием, подразумевается МФО, в которой доля оптового финансирования составляет более 70 (семидесяти) процентов от его портфеля по финансированию.";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_xwuaoi7tm13668fr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второй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"привлечение денежных средств" заменить словами "прием вкладов";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9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максимальный совокупный размер финансирования, предоставляемого одному и тому же клиенту или группе связанных лиц, в размере не более 3 (трех) процентов от минимального размера уставного капитала для вновь создаваемой МФК (не привлекающей срочные вклады от физических и юридических лиц);";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7pxmtux9fx2bsbc2sm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Значение норматива минимального размера собственного капитала необходимо поддерживать на уровне не менее 100 (ста) процентов от минимального размера уставного капитала.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минимального размера собственного капитала определяется по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/ УК * 100%,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(в соответствии с пунктом 12 настоящих Правил);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 для вновь создаваемых МФК, не осуществляющих прием вкладов, установленный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слово "сделке" заменить словом "договору";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dnubnxmzruivdkxfe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13-4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"13-4. Максимальный размер инвестиций в имущество (основные средства) не должен превышать 80 (восемьдесят) процентов размера собственного капитала МФК.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имуществом понимается имущество (включая строящееся/устанавливаемое недвижимое имущество, транспортные средства и т.д.), которое принадлежит МФК или находится в распоряжении МФК по договору аренды и/или используется/будет использоваться в качестве основного средства.";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МФК, не осуществляющие прием вкладов, вправе заимствовать средства от юридических и физических лиц - учредителей (акционеров) МФК и юридических лиц.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Наценка/ставка доходности по средствам, заимствованным от учредителей (акционеров), не должна превышать учетную ставку Национального банка более чем на 5 (пять) процентных пунктов.";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ebpgah5pq4eghpfrhj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15-2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"15-2. Формы финансовой отчетности и сведения об инвестициях, заимствованиях от учредителей, должны быть подписаны председателем правления МФК либо другим лицом, официально имеющим право первой подписи, а также лицом, ответственным за подготовку и представление сведений.";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dh5wo94maw4ezm7f98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четвертой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"привлечение денежных средств" заменить словами "прием вкладов";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МФК, осуществляющие операции по приему вкладов, обязаны соблюдать установленные Национальным банком экономические нормативы, включая: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оплаченного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собственного капитала (М1);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достаточности (адекватности) капитала (М2);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на одного клиента (М3);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ликвидности (М4);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ограничения риска по возврату вкладов (М5);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по операциям с аффилированными и связанными с МФК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максимальную совокупную задолженность одного работника МФК по финансированию, предоставленному компанией;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инвестиций в МФО, лизинговые компании и банки;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инвестиций в негосударственные долговые ценные бумаги;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инвестиций в имущество (основные средства).";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vldrngntamm0ac21-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Микрофинансовые компании имеют право привлекать только срочные вклады от физических и юридических лиц на срок не менее 30 дней.";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МФК, осуществляющие операции по приему вкладов, не имеют права:";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xavnkddrwwzpjum4o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пятой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наименование слова "привлечение денежных средств" заменить словами "прием вкладов";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Требования к уставному капиталу микрофинансовых компаний, осуществляющих операции по приему срочных вкладов, установлены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"Значение норматива минимального собственного капитала (M1) необходимо поддерживать на уровне не менее 100 (сто) процентов от минимального размера уставного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минимального собственного капитала МФК (M1)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М1 = СК / УК * 100%,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(пункт 12 настоящих Правил);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 для вновь создаваемых МФК, осуществляющих прием вкладов, установленный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четвертом абзаце слово "сделке" заменить словом "договору";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одиннадцатом абзаце на официальном языке слово "одни" заменить словом "один";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абзаце слова "денежные средства" заменить словом "вклады";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пятый абзац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- обязательства МФК, включая привлеченные вклады, расчеты по которым наступают в течение 30 дней с момента оценки.";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восьмой абзац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структуру и устойчивость депозитной базы (сроки возврата вкладов, концентрацию источников, политику определения величины нормы доходности)";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абзаце слова "денежных средств" заменить словом "вкладов";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четвертом абзаце "денежных средств" заменить словом "вкладов";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МФК, привлекающие депозиты, должны осуществлять операции с аффилированными и связанными с МФК лицами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Инструкцией</w:t>
      </w:r>
      <w:r>
        <w:rPr>
          <w:rFonts w:ascii="Arial" w:cs="Arial" w:eastAsia="Arial" w:hAnsi="Arial"/>
          <w:sz w:val="24"/>
          <w:szCs w:val="24"/>
        </w:rPr>
        <w:t xml:space="preserve"> "О требованиях к операциям микрофинансовых компаний, привлекающих депозиты, с аффилированными и связанными с микрофинансовой компанией и жилищно-сберегательной кредитной компанией лицами",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июня 2017 года № 2017-П-12/25-6-(НПА). Максимальный совокупный размер риска по операциям с аффилированными и связанными с МФК лицами, выраженный в качестве размера совокупной задолженности аффилированных и связанных с МФК лиц перед МФК, не должен превышать 60 (шестьдесят) процентов собственного капитала МФК;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Совокупная задолженность одного работника МФК, которому МФК предоставила финансирование, не должна превышать 5 (пяти) процентов от размера собственного капитала МФК и определяется по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/ СК * 100% ≤ 5%,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- совокупная задолженность одного работника МФК, которому МФК предоставила финансирование на дату оценки;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не вправе предоставлять финансирование аффилированным или связанным с МФК лицам, если общая сумма всего финансирования и их заменителей, предоставленных всем аффилированным и/или связанным с МФК лицам, превышает 60 (шестидесяти) процентов от собственного капитала МФК.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по предоставлению финансирования должностным лицам и сотрудникам МФК могут осуществляться только при условии соблюдения требований, указанных 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требованиях к операциям микрофинансовых компаний, привлекающих депозиты, с аффилированными и связанными с микрофинансовой компанией и жилищно-сберегательной кредитной компанией лицами",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июня 2017 года № 2017-П-12/25-6-(НПА).";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Устанавливаются следующие требования в части совокупного размера инвестиций в МФО, лизинговые компании и банки:";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"сделке" заменить словом "договору";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uki_9hbwjrmooohka_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32-1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Максимальный размер инвестиций в имущество (основные средства) для МФК, осуществляющих прием вкладов.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размер инвестиций в имущество (основные средства) не должен превышать 20 (двадцати) процентов размера собственного капитала МФК.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имуществом понимается имущество (включая строящееся/устанавливаемое недвижимое имущество, транспортные средства и т.д.), которое принадлежит МФК или находится в распоряжении МФК по договору аренды и/или используется/будет использоваться в качестве основного средства.";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aujnfa3zxt-h_yps39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32-2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"32-2. МФК, привлекающие вклады, вправе заимствовать средства от юридических и физических лиц – учредителей (акционеров) МФК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Наценка/ставка доходности по средствам, заимствованным от учредителей (акционеров), не должна превышать учетную ставку Национального банка более чем на 5 (пять) процентных пунктов.";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aietj1jfts0ib22wpc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шестой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30pmykmcv1mylmypk3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6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соблюдения МФК экономических нормативов и требований и представления ими сведений в Национальный банк";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МФК должны представлять в Национальный банк информацию по исполнению экономических нормативов в соответствии с требованиями и сроками, установленными в рамках периодической регулятивной отчетности.";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k8aq0z7cseofashgxh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Ежегодно, после проведения независимого внешнего аудита силами независимых внешних аудиторов, МФК обязана представлять в Национальный банк один экземпляр (копию) полного отчета внешнего аудитора без изменений, включая письмо руководству, в течение 30 (тридцати) дней с момента представления отчета внешним аудитором МФК.";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sw7ty9s6agfwgwnpu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"38-1. МФК должны в течение 5 (пяти) рабочих дней после публикации с приложением 1 (одного) экземпляра (копии) публикации представить в Национальный банк и/или с указанием ссылки на официальный интернет-сайт МФК (портал информационного агентства), в котором была опубликована финансовая отчетность, с приложением копии публикации. Ссылка на официальный интернет-сайт/портал информационного агентства также должна быть направлена по электронной почте в уполномоченное структурное подразделение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cglzn8rhrpqmtakxoi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38-2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"38-2. В случае если МФК имеет обязательства перед третьими лицами, а также в случае наличия одной из нижеследующих угроз стабильности деятельности МФК, Национальный банк может ограничить выплату дивидендов МФК, если: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обязательствами перед третьими лицами понимаются денежные средства, привлеченные МФК от несвязанных с МФК юридических и физических лиц, и направленные на основную деятельность.";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pjac03f2zr2pa0tmhk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седьмой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слово "сделки" заменить словом "договора";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Максимальный совокупный размер финансирования, выдаваемый МКК одному и тому же лицу или группе связанных лиц, должен быть определен в размере не более 10 (десяти) процентов от минимального размера уставного капитала для вновь создаваемых МКК, установленный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42-1: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абзаце слово "сделке" заменить словом "договору";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слово "сделке" заменить словом "договору";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дополнить пунктом 43-1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"43-1. МКК, в том числе МКК, занимающаяся оптовым финансированием, имеет право заимствовать средства от юридических и физических лиц - учредителей (акционеров) МКК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Наценка/ставка доходности по средствам, заимствованным от учредителей (акционеров), не должна превышать учетную ставку Национального банка более чем на 5 (пять) процентных пунктов.";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МКК, занимающиеся оптовым финансированием и имеющие обязательства перед кредиторами (в том числе ФКО), должны соблюдать норматив достаточности (адекватности)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достаточности (адекватности) капитала М2 необходимо поддерживать на уровне не менее 15 (пятнадцати)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(адекватности) капитала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M2 = СК / СА * 100%,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 на дату оценки;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 балансовых активов на дату оценки за минусом суммы депозитов от клиентов, размещенных в ФКО в качестве залога в размере суммы привлеченных денежных средств во вклады в национальной валюте в целях хеджирования валютных рисков.";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tjm8h3eamf3r7ai4lu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"45-1. Значение норматива минимального размера собственного капитала необходимо поддерживать на уровне не менее 100 (сто) процентов от минимального размера уставного капитала.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минимального размера собственного капитала МКК определяется по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/ УК * 100%,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 на дату оценки в соответствии с пунктом 45 настоящих Правил;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 для вновь создаваемых МКК, установленный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дополнить пунктом 45-2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"45-2. В случае если МКК имеет обязательства перед третьими лицами, а также в случае наличия одной из нижеследующих угроз стабильности деятельности МКК, Национальный банк может ограничить выплату дивидендов/распределения прибыли МКК, если: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обязательствами перед третьими лицами понимаются денежные средства, привлеченные МКК от несвязанных с МКК юридических и физических лиц, и направленные на основную деятельность.";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слово "сделке" заменить словом "договору";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2dsf4exnfqthxrtst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47-1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"47-1. Выдача финансирования, в том числе по договору иджара мунтахийя биттамлик, свыше максимального размера финансирования, выдаваемой МКА одному и тому же клиенту или группе связанных лиц, установленного пунктом 47 настоящих Правил, учитывая цели статьи 2 Закона Кыргызской Республики "О микрофинансовых организациях в Кыргызской Республике", допускается в размере не более 2 (двух) процентов от собственного капитала (балансовая стоимость капитала) МКА, на следующие цели: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создание бизнеса (приобретение основных и оборотных средств для организации предпринимательской деятельности) или нового направления в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расширение и развитие действующего бизнеса/деятельности, при выполнении одного из следующих вопросов: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технологий, нацеленных на технологическое обновление, внедрение инновационного оборудования и техники;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бизнес-процессов;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рабочих мест;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масштабов производства.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МКА финансирования, в том числе по договору иджара мунтахийя биттамлик, указанных в абзаце первом настоящего пункта, необходимо выполнение следующих условий: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МКА разработанной в соответствии с целями и задачами МКА политики финансирования с определением конкретных видов продуктов и порядок последующего мониторинга целевого использования предоставляемого финансирования;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информации о клиенте (кредитный отчет) и по усмотрению МКА о связанных с клиентом лицах (при наличии их согласия в соответствии с законодательством Кыргызской Республики) в существующих кредитных бюро;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необходимых документальных подтверждений платежеспособности заявителя (права владения активами, генерирующими доход заявителя, справка о заработной плате с места работы, патент, или решение органа налоговой службы о применении/отказе применения уплаты налога в зоне торговли с особым режимом, или свидетельство и т.д.), а также проведение оценки платежеспособности заявителя, подтвержденная заключением ответственного специалиста по финансированию или работника в соответствии с политикой финансирования и/или иными внутренними документами МКА;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бизнес-плана на получение финансирования заявителя, при этом в бизнес-плане должны быть указаны цели использования финансирования с соответствующими расчетами и прогнозами.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портфеле финансирования МКА доля вышеуказанного финансирования занимает 70 (семьдесят) и более процентов, ограничения, указанные в пункте 47, на данные МКА не распространяются.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портфеле финансирования МКА доля вышеуказанного финансирования составляет менее 70 (семидесяти) процентов, то финансирование до 100 тыс. сомов должно составлять 20 (двадцать) и более процентов от общего портфеля финансирования МКА.".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w1tabd8rggduopvl5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dalil.kg/document/230026030</w:t>
      </w:r>
    </w:hyperlink>
  </w:p>
  <w:p>
    <w:pPr>
      <w:spacing w:after="0" w:before="40"/>
      <w:jc w:val="center"/>
    </w:pPr>
    <w:hyperlink w:history="1" r:id="rId0nl6joh9y_vbpmt1eon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dsgewawxeqvoggiftts" Type="http://schemas.openxmlformats.org/officeDocument/2006/relationships/hyperlink" Target="https://dalil.kg/document/112424#st_5" TargetMode="External"/><Relationship Id="rId0okwfash8pbeeym89hgns" Type="http://schemas.openxmlformats.org/officeDocument/2006/relationships/hyperlink" Target="https://dalil.kg/document/112424#st_9" TargetMode="External"/><Relationship Id="rIdjradgzchrppeacxws-2pj" Type="http://schemas.openxmlformats.org/officeDocument/2006/relationships/hyperlink" Target="https://dalil.kg/document/112424#st_64" TargetMode="External"/><Relationship Id="rIdr6bsyeqvebkspyegkh_fj" Type="http://schemas.openxmlformats.org/officeDocument/2006/relationships/hyperlink" Target="https://dalil.kg/document/302943" TargetMode="External"/><Relationship Id="rIdyqgjkhupw4jx3un4hjaxe" Type="http://schemas.openxmlformats.org/officeDocument/2006/relationships/hyperlink" Target="https://dalil.kg/document/302944" TargetMode="External"/><Relationship Id="rIdldim4bbhgjs1outd-zw5y" Type="http://schemas.openxmlformats.org/officeDocument/2006/relationships/hyperlink" Target="https://dalil.kg/document/302943" TargetMode="External"/><Relationship Id="rIdvx4ombxvrhxujpospqy1x" Type="http://schemas.openxmlformats.org/officeDocument/2006/relationships/hyperlink" Target="https://dalil.kg/document/302944" TargetMode="External"/><Relationship Id="rIdpua_whxmwfafcbheeb77l" Type="http://schemas.openxmlformats.org/officeDocument/2006/relationships/hyperlink" Target="https://dalil.kg/document/302944" TargetMode="External"/><Relationship Id="rIdgwzymvq0sjxo-katet9qm" Type="http://schemas.openxmlformats.org/officeDocument/2006/relationships/hyperlink" Target="https://dalil.kg/document/302943" TargetMode="External"/><Relationship Id="rIdp4qodjw_wwajg7pdvoxly" Type="http://schemas.openxmlformats.org/officeDocument/2006/relationships/hyperlink" Target="https://dalil.kg/document/302944#g1" TargetMode="External"/><Relationship Id="rIdw_xwuaoi7tm13668fryko" Type="http://schemas.openxmlformats.org/officeDocument/2006/relationships/hyperlink" Target="https://dalil.kg/document/302944#g2" TargetMode="External"/><Relationship Id="rId97pxmtux9fx2bsbc2sm9x" Type="http://schemas.openxmlformats.org/officeDocument/2006/relationships/hyperlink" Target="https://dalil.kg/document/302944#g2" TargetMode="External"/><Relationship Id="rIdkkdnubnxmzruivdkxfehy" Type="http://schemas.openxmlformats.org/officeDocument/2006/relationships/hyperlink" Target="https://dalil.kg/document/302944#g2" TargetMode="External"/><Relationship Id="rIduebpgah5pq4eghpfrhj8c" Type="http://schemas.openxmlformats.org/officeDocument/2006/relationships/hyperlink" Target="https://dalil.kg/document/302944#g2" TargetMode="External"/><Relationship Id="rIdsdh5wo94maw4ezm7f98to" Type="http://schemas.openxmlformats.org/officeDocument/2006/relationships/hyperlink" Target="https://dalil.kg/document/302944#g4" TargetMode="External"/><Relationship Id="rIdgmvldrngntamm0ac21-wd" Type="http://schemas.openxmlformats.org/officeDocument/2006/relationships/hyperlink" Target="https://dalil.kg/document/302944#g4" TargetMode="External"/><Relationship Id="rId7xavnkddrwwzpjum4o1dw" Type="http://schemas.openxmlformats.org/officeDocument/2006/relationships/hyperlink" Target="https://dalil.kg/document/302944#g5" TargetMode="External"/><Relationship Id="rIdpuki_9hbwjrmooohka_i3" Type="http://schemas.openxmlformats.org/officeDocument/2006/relationships/hyperlink" Target="https://dalil.kg/document/302944#g5" TargetMode="External"/><Relationship Id="rId-aujnfa3zxt-h_yps396l" Type="http://schemas.openxmlformats.org/officeDocument/2006/relationships/hyperlink" Target="https://dalil.kg/document/302944#g5" TargetMode="External"/><Relationship Id="rIdnaietj1jfts0ib22wpc65" Type="http://schemas.openxmlformats.org/officeDocument/2006/relationships/hyperlink" Target="https://dalil.kg/document/302944#g6" TargetMode="External"/><Relationship Id="rId830pmykmcv1mylmypk3w1" Type="http://schemas.openxmlformats.org/officeDocument/2006/relationships/hyperlink" Target="https://dalil.kg/document/302944#g6" TargetMode="External"/><Relationship Id="rId4k8aq0z7cseofashgxhiw" Type="http://schemas.openxmlformats.org/officeDocument/2006/relationships/hyperlink" Target="https://dalil.kg/document/302944#g6" TargetMode="External"/><Relationship Id="rIdasw7ty9s6agfwgwnpugmr" Type="http://schemas.openxmlformats.org/officeDocument/2006/relationships/hyperlink" Target="https://dalil.kg/document/302944#g6" TargetMode="External"/><Relationship Id="rId9cglzn8rhrpqmtakxoikr" Type="http://schemas.openxmlformats.org/officeDocument/2006/relationships/hyperlink" Target="https://dalil.kg/document/302944#g6" TargetMode="External"/><Relationship Id="rIdwpjac03f2zr2pa0tmhkbj" Type="http://schemas.openxmlformats.org/officeDocument/2006/relationships/hyperlink" Target="https://dalil.kg/document/302944#g7" TargetMode="External"/><Relationship Id="rIdutjm8h3eamf3r7ai4lud6" Type="http://schemas.openxmlformats.org/officeDocument/2006/relationships/hyperlink" Target="https://dalil.kg/document/302944#g7" TargetMode="External"/><Relationship Id="rIdf2dsf4exnfqthxrtstdsv" Type="http://schemas.openxmlformats.org/officeDocument/2006/relationships/hyperlink" Target="https://dalil.kg/document/302944#g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w1tabd8rggduopvl5eb" Type="http://schemas.openxmlformats.org/officeDocument/2006/relationships/hyperlink" Target="https://dalil.kg/document/230026030" TargetMode="External"/><Relationship Id="rId0nl6joh9y_vbpmt1eon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2026-09-27T15:03:33.193Z</dcterms:created>
  <dcterms:modified xsi:type="dcterms:W3CDTF">2026-09-27T15:03:33.193Z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