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xw1hjqodhctnx3afujm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Комиссии по развитию технологических парков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jldphofr3m4miqgvzbl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2025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ocrqhu8szyemfe8t6w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Комиссии по развитию технологических парков при Кабинете Министров Кыргызской Республики регламентирует порядок и организацию работы Комиссии по развитию технологических парков при Кабинете Министров Кыргызской Республики (далее - Комиссия). Комиссия является органом, образованным в целях обеспечения эффективного функционирования, развития и государственной поддержки технологических парков (далее - технопарки).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Комиссия руководствуется </w:t>
      </w:r>
      <w:hyperlink w:history="1" r:id="rId48h_sosqrv3wzkza47o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5ny_lr_rhgp7z6_gk6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технологических парках", решениями Президента Кыргызской Республики и Кабинета Министров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согласованных действий Министерства </w:t>
      </w:r>
      <w:r>
        <w:rPr>
          <w:rFonts w:ascii="Arial" w:cs="Arial" w:eastAsia="Arial" w:hAnsi="Arial"/>
          <w:sz w:val="24"/>
          <w:szCs w:val="24"/>
        </w:rPr>
        <w:t xml:space="preserve">науки, высшего образования и инноваций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других органов государственной власти Кыргызской Республики по вопросам функционирования технопарков;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включение технопарков в Государственный реестр технопарков;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ежегодное заслушивание отчета Министерства </w:t>
      </w:r>
      <w:r>
        <w:rPr>
          <w:rFonts w:ascii="Arial" w:cs="Arial" w:eastAsia="Arial" w:hAnsi="Arial"/>
          <w:sz w:val="24"/>
          <w:szCs w:val="24"/>
        </w:rPr>
        <w:t xml:space="preserve">науки, высшего образования и инноваций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оценке эффективности деятельности технопарков, включенных в Государственный реестр технопарков;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предложений по совершенствованию нормативного правового регулирования функционирования и развития технопарков;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осуществлении мониторинга реализации решений Комиссии в соответствии с возложенными задачами;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предложений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эффективности создания, функционирования и развития технопарков, а также создания благоприятных условий деятельности компаний-резидентов технопарков и организаций, выступающих инвесторами технопарков;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создания, функционирования и развития технопарков за счет не запрещенных источников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системы управления технопарками;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реализации программ развития малого и среднего предпринимательства на территории технопарков;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конференций, семинаров, лекций и других публичных мероприятий, необходимых для достижения практического взаимодействия между всеми участниками процесса создания, функционирования и развития технопарков.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рамках реализации возложенных на нее задач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предложения государственных органов Кыргызской Республики по вопросам, отнесенным к компетенции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взаимодействие с заинтересованными органами государственной власти Кыргызской Республики, органами местного самоуправления, научными и образовательными учреждениями, а также организациями, являющимися инвесторами и резидентами технопарков, в том числе запрашивать у них в установленном порядке информацию по вопросам, относящимся к компетенции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решения, обязательные для органов исполнительной власти, представленных в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временные и постоянно действующие рабочие группы для своевременной и качественной подготовки предложений по вопросам, связанным с решением возложенных на Комиссию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при необходимости экспертов и консультантов для проработки вопросов, вносимых на рассмотрение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Состав Комиссии утверждается распоряжением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 представители </w:t>
      </w:r>
      <w:r>
        <w:rPr>
          <w:rFonts w:ascii="Arial" w:cs="Arial" w:eastAsia="Arial" w:hAnsi="Arial"/>
          <w:sz w:val="24"/>
          <w:szCs w:val="24"/>
        </w:rPr>
        <w:t xml:space="preserve">Министерства науки, высшего образования и инноваций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Министерства экономики и коммерции Кыргызской Республики, Министерства юстиции Кыргызской Республики, Министерства финансов Кыргызской Республики, Министерства цифрового развития и инновационных технологий Кыргызской Республики, Министерства природных ресурсов, экологии и технического надзора Кыргызской Республики, Министерства строительства, архитектуры и жилищно-коммунального хозяйства Кыргызской Республики, Государственного агентства интеллектуальной собственности и инноваций при Кабинете Министров Кыргызской Республики, Государственного агентства по управлению государственным имуществом при Кабинете Министров Кыргызской Республики, Национального агентства по инвестициям при Президенте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Государственной налоговой службы при Кабинете Министров Кыргызской Республики, Государственной таможенной службы при Кабинете Министров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 Национальной академии наук Кыргызской Республики, Торгово-промышленной палаты Кыргызской Республики, академического сообщества, научно-исследовательских институтов, образовательных организаций высшего профессионального образования, бизнеса и экспертного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psixrktzobcdxcj_3u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Председателем Комиссии является заместитель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членами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составы рабочих групп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 работы Комиссии (на основе предложений членов комиссии), регламент работы Комиссии, повестку дня заседаний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имеет одного заместителя. Заместителем председателя Комиссии является министр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Ответственным секретарем Комиссии является представитель Министерства </w:t>
      </w:r>
      <w:r>
        <w:rPr>
          <w:rFonts w:ascii="Arial" w:cs="Arial" w:eastAsia="Arial" w:hAnsi="Arial"/>
          <w:sz w:val="24"/>
          <w:szCs w:val="24"/>
        </w:rPr>
        <w:t xml:space="preserve">науки, высшего образования и инноваций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Ответственный секретарь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работы по подготовке заседаний Комиссии, подготавливает повестку дня заседания Комиссии и формирует по согласованию с председателем Комиссии список приглашенных на заседание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плана работы Комиссии, осуществляет сбор материалов по вопросам, подлежащим рассмотрению на заседании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материалы, необходимые для подготовки заседания Комиссии, которые представляются в Комиссию заинтересованными органами государственной власти, к компетенции которых относятся вопросы повестки дня, не позднее 15 рабочих дней до дня проведения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позже чем за 10 рабочих дней до заседания информирует членов Комиссии и лиц, приглашенных на заседание, о повестке дня заседания, дате, месте и времени его проведения;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протокол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копии протокола заседания Комиссии ее членам в течение 3 рабочих дней с момента его подписания;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обязанности по поручению председателя Комиссии или его заместителя.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отсутствие ответственного секретаря Комиссии его полномочия выполняет другой член Комиссии по решению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присутствуют на заседаниях Комиссии, а при невозможности присутствовать на заседании Комиссии обязаны заблаговременно известить об этом ответственного секретаря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председателю Комиссии предложения по плану работы Комиссии, повестке дня заседаний Комиссии и порядку обсуждения вопросов на заседаниях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ответственному секретарю Комиссии материалы по вопросам, подлежащим рассмотрению на заседании Комиссии, а также проекты решений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предлагают кандидатуры представителей заинтересованных органов государственной власти и организаций, не входящих в состав Комиссии, а также независимых экспертов и иных заинтересованных лиц для участия в расширенном заседании Комиссии, рабочей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обсуждении рассматриваемых Комиссией вопросов и выработке по ним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направляют в случае необходимости ответственному секретарю Комиссии свое мнение по вопросам повестки дня Комиссии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 Комиссии в случае отсутствия на заседании вправе изложить свое мнение по рассматриваемым вопросам в письменной форме, которое оглашается на заседании и приобщается к протоколу.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Комиссии проводятся в соответствии с планом ее работы, но не реже одного раза в год, и считаются правомочными, если на них присутствовало не менее половины от общего состава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Комиссии принимаются большинством голосов присутствующих на заседании членов Комиссии и оформляются протоколом заседания Комиссии, который подписывает председатель или заместитель председателя Комиссии, проводивший данное заседание, и ответственный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 Комиссии могут приглашаться представители органов государственной власти и органов местного самоуправления, а также представители научных и иных организаций, ученые, специалисты и общественные деятели, не входящие в состав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Организационно-техническое и информационно-аналитическое обеспечение деятельности Комиссии осуществляется Министерством </w:t>
      </w:r>
      <w:r>
        <w:rPr>
          <w:rFonts w:ascii="Arial" w:cs="Arial" w:eastAsia="Arial" w:hAnsi="Arial"/>
          <w:sz w:val="24"/>
          <w:szCs w:val="24"/>
        </w:rPr>
        <w:t xml:space="preserve">науки, высшего образования и инноваций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w1hjqodhctnx3afujmxc" Type="http://schemas.openxmlformats.org/officeDocument/2006/relationships/hyperlink" Target="http://kodeks.duckdns.org/document/230026427" TargetMode="External"/><Relationship Id="rIdjldphofr3m4miqgvzblhd" Type="http://schemas.openxmlformats.org/officeDocument/2006/relationships/hyperlink" Target="http://kodeks.duckdns.org/document/230030500" TargetMode="External"/><Relationship Id="rIdfocrqhu8szyemfe8t6wth" Type="http://schemas.openxmlformats.org/officeDocument/2006/relationships/hyperlink" Target="http://kodeks.duckdns.org/document/230036000" TargetMode="External"/><Relationship Id="rId48h_sosqrv3wzkza47ofx" Type="http://schemas.openxmlformats.org/officeDocument/2006/relationships/hyperlink" Target="http://kodeks.duckdns.org/document/112213" TargetMode="External"/><Relationship Id="rIdy5ny_lr_rhgp7z6_gk638" Type="http://schemas.openxmlformats.org/officeDocument/2006/relationships/hyperlink" Target="http://kodeks.duckdns.org/document/230011107" TargetMode="External"/><Relationship Id="rId8psixrktzobcdxcj_3uut" Type="http://schemas.openxmlformats.org/officeDocument/2006/relationships/hyperlink" Target="http://kodeks.duckdns.org/document/23003600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2026-09-23T10:34:18.796Z</dcterms:created>
  <dcterms:modified xsi:type="dcterms:W3CDTF">2026-09-23T10:34:18.796Z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