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llkyppkeepysrhc5h3x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 актов государственных органов,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обладающих правовым характером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glzjngcwlngxklxnvc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принятия актов государственных органов, обладающих правовым характером (далее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Порядок), устанавливает единые требования к актам</w:t>
      </w:r>
      <w:r>
        <w:rPr>
          <w:rFonts w:ascii="Arial" w:cs="Arial" w:eastAsia="Arial" w:hAnsi="Arial"/>
          <w:sz w:val="24"/>
          <w:szCs w:val="24"/>
        </w:rPr>
        <w:t xml:space="preserve"> министерств, государственного комитета, административных ведомств и иных государственных органов (далее – государственные органы)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подпадающих под критерии, установленные в пункте 3 настоящего Порядка</w:t>
      </w:r>
      <w:r>
        <w:rPr>
          <w:rFonts w:ascii="Arial" w:cs="Arial" w:eastAsia="Arial" w:hAnsi="Arial"/>
          <w:sz w:val="24"/>
          <w:szCs w:val="24"/>
        </w:rPr>
        <w:t xml:space="preserve">, их подготовку, оформление, </w:t>
      </w:r>
      <w:r>
        <w:rPr>
          <w:rFonts w:ascii="Arial" w:cs="Arial" w:eastAsia="Arial" w:hAnsi="Arial"/>
          <w:sz w:val="24"/>
          <w:szCs w:val="24"/>
        </w:rPr>
        <w:t xml:space="preserve">согласование, </w:t>
      </w:r>
      <w:r>
        <w:rPr>
          <w:rFonts w:ascii="Arial" w:cs="Arial" w:eastAsia="Arial" w:hAnsi="Arial"/>
          <w:sz w:val="24"/>
          <w:szCs w:val="24"/>
        </w:rPr>
        <w:t xml:space="preserve">принятие, вступление в силу, опубликование и прекращение действия.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не регулирует порядок принятия актов, связанных с кадровыми назначениями и организацией внутренней работы министерств и ведомств.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государственных органов, обладающие правовым характером (далее – акты), – это документы, регулирующие определенные отношения в соответствующей сфере, принимаемые в рамках компетенции государственных органов, установленной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принимают решение об оформлении и утверждении документа в виде акта, подпадающего под регулирование настоящим Порядком, при соответствии документа одному или всем нижеследующим критериям: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 принимается в рамках прямых полномочий государственных органов, установленных законами;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принимается в рамках полномочий государственных органов, установленных в нормативных правовых актах Президента Кыргызской Республики и Кабинета Министров Кыргызской Республики, за исключением актов Кабинета Министров Кыргызской Республики о делегировании нормотворческих полномочий;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регулирует вопросы исключительно процедурного, инструктивного, методического характера;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акт регулирует вопросы исключительно технического характера, за исключением вопросов, связанных с утверждением: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являющихся предметом регулирования технических регламентов, строительных норм и правил безопасности;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процесса наладки и сдачи в эксплуатацию производственных объектов (оборудования);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процедур, направленных на соблюдение требований, которым должна соответствовать продукция (услуга);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регулирует правоотношения, затрагивающие ограниченный круг лиц.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2quewgrr0oynxbhxfm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Акты принимаются в виде приказов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Актами могут утверждаться: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инструкции;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методики;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правила;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другие виды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Акты распространяются на всех участников отношений в соответствующей сфере.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подготовки, согласования,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принятия, регистрации и опубликования актов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и оформление проектов актов осуществляется в соответствии с Инструкцией по разработке проектов подзаконных актов Кыргызской Республики, утвержденной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 акта подлежит согласованию с заинтересованными государственными органами, органами местного самоуправления и иными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согласовании проекта акта согласующему органу на государственном или официальном языке представляются нижеследующие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сопроводительное письмо;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проект акта;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справка-обоснование к проекту акта;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сравнительная таблица к проекту акта (при внесении изменений в действующий акт).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проекта акта не должен превышать шести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согласования орган-разработчик вправе доработать проект акта с учетом поступивших замечаний и предложений или не учитывать их либо приостановить дальнейшее продвижение проекта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окончательную редакцию проекта акта, его соответствие законодательству несут руководители государственных органов, разработавших проект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проект акта затрагивает интересы широкого круга лиц, государственный орган проводит общественное обсуждение проекта акта путем размещения проекта акта, справки-обоснования и сравнительной таблицы (в случае внесения изменений в нормативный правовой акт или новой редакции) к нему на Едином портале общественного обсуждения проектов нормативных правовых актов Кыргызской Республики (далее – Единый портал). Государственный орган вправе дополнительно проводить общественное обсуждение путем организации консультативных встреч, круглых столов и других информационных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замечания и предложения подлежат обязательному рассмотрению государственным органом, разместившим проект акта для общественного обсуждения. Итоговая информация о поступивших замечаниях и предложениях с обоснованием причин учета либо неучета их в проекте акта отражается в справке-обосновании к проекту акта и размещается на Едином портале.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и прохождение процедуры общественного обсуждения проектов актов на Едином портале производится в соответствии с Порядком размещения и прохождения процедуры общественного обсуждения проектов нормативных правовых актов, определенным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общественного обсуждения составляет не менее 15 календарных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необходимости проведения анализа регулятивного воздействия принимается государственными органами с учетом требований, предусмотренных в Законе «О нормативных правовых актах Кыргызской Республики».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принятия акта такой акт подлежит регистрации государственными органами, принявшими 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акта осуществляется посредством внесения записи в отдельный журнал о регистрации актов на бумажном носителе и в автоматизированную систему «Государственная система электронного документооборота» (ГСЭД) с присвоением регистрационного номера и даты его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подлежит обязательному опубликованию на государственном и официальном языках на сайтах государственных органов, принявших акт, за исключением актов, содержащих государственные секреты или информацию для служебного пользования.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 течение семи рабочих дней со дня принятия акта обеспечивают направление электронной версии принятого акта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x2s6vucxbd0qxdsilr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вступления в силу,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изменений, прекращение действия акта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Акт вступает в силу со дня его принятия, если</w:t>
      </w:r>
      <w:r>
        <w:rPr>
          <w:rFonts w:ascii="Arial" w:cs="Arial" w:eastAsia="Arial" w:hAnsi="Arial"/>
          <w:sz w:val="24"/>
          <w:szCs w:val="24"/>
        </w:rPr>
        <w:t xml:space="preserve">иное не предусмотрено в самом акте.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акта не распространяется на отношения, возникшие до его введения в действие.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Акты прекращают свое действие (полностью или в отдельной части) в следующих случаях: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силу акта государственного органа, признающего данный акт утратившим силу либо отменяющего его действие;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силу нормативного правового акта, нормам которого противоречат положения акта;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признание судом акта недействительным или внесение органами прокуратуры акта прокурорского реагирования в отношении акта, противоречащего законодательству;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акта, на который был рассчитан акт.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Признание акта недействительным влечет отмену его действия либо приведение такого акта (структурного элемента) в соответствие с нормативным правовым актом, имеющим более высокую юридическую силу.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vpl-9gatum7vzchuyo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Акты прокурорского реагирования могут служить основанием для приостановления, отмены, признания утратившим силу либо приведения такого акта (структурного элемента) в соответствие с нормативным правовым актом, обладающим более высокой юридической силой.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(несогласия) акта прокурорского реагирования прокурор вправе обратиться в суд.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акта прокурорского реагирования на акты государственных органов определяется конституционным Законом Кыргызской Республики «О прокуратуре Кыргызской Республики/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vfz3bjcfcfohw6rgzr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Кабинет Министров вправе принимать решения об отмене, приостановлении действия актов государственных органов.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Нормы актов, ухудшающие положение участников соответствующих отношений, установленных законодательством, либо принятые с нарушением настоящего Порядка, не применяются и подлежат отмене.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kmxtatsfqqmzolim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dalil.kg/document/230027755</w:t>
      </w:r>
    </w:hyperlink>
  </w:p>
  <w:p>
    <w:pPr>
      <w:spacing w:after="0" w:before="40"/>
      <w:jc w:val="center"/>
    </w:pPr>
    <w:hyperlink w:history="1" r:id="rIdrzszff22aa7hqifaf1q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kyppkeepysrhc5h3x8b" Type="http://schemas.openxmlformats.org/officeDocument/2006/relationships/hyperlink" Target="https://dalil.kg/document/230027754" TargetMode="External"/><Relationship Id="rIdkglzjngcwlngxklxnvcha" Type="http://schemas.openxmlformats.org/officeDocument/2006/relationships/hyperlink" Target="https://dalil.kg/document/230049946" TargetMode="External"/><Relationship Id="rId82quewgrr0oynxbhxfmdh" Type="http://schemas.openxmlformats.org/officeDocument/2006/relationships/hyperlink" Target="https://dalil.kg/document/230049946" TargetMode="External"/><Relationship Id="rIdcx2s6vucxbd0qxdsilrku" Type="http://schemas.openxmlformats.org/officeDocument/2006/relationships/hyperlink" Target="https://dalil.kg/document/230049946" TargetMode="External"/><Relationship Id="rIdzvpl-9gatum7vzchuyoqf" Type="http://schemas.openxmlformats.org/officeDocument/2006/relationships/hyperlink" Target="https://dalil.kg/document/230049946" TargetMode="External"/><Relationship Id="rIdqvfz3bjcfcfohw6rgzr-h" Type="http://schemas.openxmlformats.org/officeDocument/2006/relationships/hyperlink" Target="https://dalil.kg/document/2300499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kmxtatsfqqmzolimpep" Type="http://schemas.openxmlformats.org/officeDocument/2006/relationships/hyperlink" Target="https://dalil.kg/document/230027755" TargetMode="External"/><Relationship Id="rIdrzszff22aa7hqifaf1q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2026-09-25T18:29:35.850Z</dcterms:created>
  <dcterms:modified xsi:type="dcterms:W3CDTF">2026-09-25T18:29:35.850Z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