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3igia8hkz8ajygtd_tm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
 от 1</w:t>
      </w:r>
      <w:r>
        <w:rPr>
          <w:rFonts w:ascii="Arial" w:cs="Arial" w:eastAsia="Arial" w:hAnsi="Arial"/>
          <w:sz w:val="24"/>
          <w:szCs w:val="24"/>
        </w:rPr>
        <w:t xml:space="preserve"> июля</w:t>
      </w:r>
      <w:r>
        <w:rPr>
          <w:rFonts w:ascii="Arial" w:cs="Arial" w:eastAsia="Arial" w:hAnsi="Arial"/>
          <w:sz w:val="24"/>
          <w:szCs w:val="24"/>
        </w:rPr>
        <w:t xml:space="preserve"> 2025 года № 3</w:t>
      </w:r>
      <w:r>
        <w:rPr>
          <w:rFonts w:ascii="Arial" w:cs="Arial" w:eastAsia="Arial" w:hAnsi="Arial"/>
          <w:sz w:val="24"/>
          <w:szCs w:val="24"/>
        </w:rPr>
        <w:t xml:space="preserve">85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порядке выдачи и применения 
 учетно-контрольных марок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порядке выдачи и применения учетно-контрольных марок в Кыргызской Республике (далее – Положение) определяет порядок выдачи и применения учетно-контрольных марок на территории Кыргызской Республики.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Положении используются следующие понятия: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импортер – налогоплательщик, осуществляющий ввоз на территорию Кыргызской Республики маркируемой продукции;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уполномоченный банк – коммерческий банк, заключивший договор на обслуживание с уполномоченным налоговым органом и имеющий лицензию или свидетельство Национального банка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3) маркируемая продукция – производимая на территории Кыргызской Республики и импортируемая на территорию Кыргызской Республики продукция, перечень которой утвержден Кабинетом Министров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номинальная стоимость учетно-контрольной марки – отпускная цена учетно-контрольной марки при реализации через уполномоченный банк;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5) электронно-информационный элемент – элемент на учетно-контрольной марке, определяемый электронными устройствами и/или программными приложениями, способный нести в себе информацию, позволяющий осуществлять идентификацию подлинности, а также несущий любую другую информацию, позволяющую налоговым органам вести сбор, производить учетный контроль;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 налоговой службы – уполномоченный налоговый орган и территориальные налоговые органы.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Понятия, используемые в настоящем Положении, трактуются в значении, определенном Налоговым </w:t>
      </w:r>
      <w:hyperlink w:history="1" r:id="rIdfa9uuowbrwambbeygge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и/или Таможенным кодексом Евразийского экономического союза.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Организациям, индивидуальным предпринимателям и физическим лицам запрещается на территории Кыргызской Республики отгрузка и реализация маркируемой продукции, не обозначенной учетно-контрольной маркой, а также ввоз на территорию Кыргызской Республики, транспортировка, прием на комиссию или консигнацию маркируемой продукции без учетно-контрольной марки.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ввоз (пересылка) физическими лицами на территорию Кыргызской Республики маркируемой продукции, не обозначенной учетно-контрольными марками, в пределах норм, установленных законодательством Кыргызской Республики.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Маркировке учетно-контрольной маркой подлежат производимая на территории Кыргызской Республики и импортируемая на территорию Кыргызской Республики продукция, включенная в перечень, утвержденный Кабинетом Министров Кыргызской Республики. Маркировка продукции по видам, наименованиям и емкости производится в соответствии с типами и номерами учетно-контрольных марок, указанными в решении органа налоговой службы, о выдаче учетно-контрольных марок.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Кабинетом Министров Кыргызской Республики определяются сроки обязательной маркировки и запрета на оборот немаркированной учетно-контрольной маркой продукции.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Маркируемая продукция, произведенная налогоплательщиком для экспорта, не подлежит маркировке учетно-контрольными марками при отправке на экспорт. Запрещается реализация на территории Кыргызской Республики продукции, подлежащей маркировке (в том числе приобретенной на товарообменной основе или с использованием давальческого сырья), произведенной на территории Кыргызской Республики для экспорта и не обозначенной учетно-контрольными марками.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Наличие учетно-контрольной марки на бутылке, пачке или другой таре, в которую разлита или расфасована маркируемая продукция, является одним из необходимых условий для ее реализации потребителям, транспортировки по территории Кыргызской Республики (кроме международного транзита) и хранения (кроме хранения производителем до маркировки изделий согласно технологическому процессу или хранения для вывоза с территории Кыргызской Республики).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Маркировка осуществляется способом, исключающим повторное использование учетно-контрольных марок. Маркировка осуществляется на крышку или место, предназначенное для открытия продукции. При нанесении учетно-контрольных марок должен использоваться клей, не позволяющий снять учетно-контрольную марку с товара без ее повреждения.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Продукция, маркированная с отклонением от требований настоящего Положения, рассматривается как немаркированная.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9. Учетно-контрольные марки изготавливаются по заказу уполномоченного налогового органа согласно договору (контракту), заключенному с поставщиком, в соответствии с законодательством Кыргызской Республики в сфере государственных закупок. Форма и образцы учетно-контрольных марок разрабатываются уполномоченным налоговым органом совместно с поставщиком. Форма и образцы учетно-контрольных марок утверждаются уполномоченным налоговым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Учетно-контрольные марки выдаются через банковскую систему Кыргызской Республики для применения на территории Кыргызской Республики, а также направляются за рубеж непосредственно на заводы-производители маркируемой продукции.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Учетно-контрольные марки, приобретенные для обозначения маркируемой продукции, производимой на территории Кыргызской Республики, и отправленные за рубеж заводу-производителю, используются для маркировки после завершения технологического процесса производства маркируемой продукции.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Учетно-контрольные марки, приобретенные в уполномоченном банке, для наклейки за рубежом на заводе-производителе маркируемой продукции вывозятся с территории Кыргызской Республики без взимания таможенных платежей под таможенной процедурой экспорта.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Оплата стоимости учетно-контрольных марок налогоплательщиком производится путем перечисления денежных средств на счет изготовителя в уполномоченном банке.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выдачи учетно-контрольных марок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Уполномоченный банк выдает налогоплательщику учетно-контрольные марки только после уплаты им номинальной стоимости учетно-контрольных марок.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Номинальная стоимость учетно-контрольной марки определяется уполномоченным органом по антимонопольному регулированию.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Реализация учетно-контрольных марок налогоплательщику производится путем выдачи марок через уполномоченный банк или отправки учетно-контрольных марок непосредственно на завод-производитель маркируемой продукции. Маркируемая продукция, ввозимая из государств – членов Евразийского экономического союза, подлежит маркировке исключительно на заводе-производителе маркируемой продукции.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выдаче учетно-контрольных марок уполномоченным банком принимается территориальным налоговым органом при представлении следующих документов: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заявление-расчет (в двух экземплярах согласно </w:t>
      </w:r>
      <w:hyperlink w:history="1" r:id="rIdote4a-ak97i1zhzcihg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Положению) с указанием наименований производимых и/или импортируемых маркируемых товаров. Один экземпляр заявления-расчета маркируемой продукции возвращается налогоплательщику, второй экземпляр остается в органе налоговой службы;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копия лицензии на ввоз и/или реализацию маркируемой продукции (для лицензируемых видов продукции);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копия и оригинал платежных документов, подтверждающих уплату номинальной стоимости учетно-контрольных марок на все количество маркируемой продукции. Копии платежных документов остаются в органе налоговой службы, оригиналы платежных документов возвращаются налогоплательщику;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инвойсы на ввозимую маркируемую продукцию, оригинал и заверенная налогоплательщиком копия договора на поставку маркируемой продукции единожды при первоначальной подаче заявки по данному договору на период его действия. Копия договора остается в органе налоговой службы, оригинал возвращается налогоплательщику.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отправке учетно-контрольных марок на зарубежный завод-производитель маркируемой продукции принимается уполномоченным налоговым органом. При этом, кроме документов, предусмотренных в абзацах третьем–шестом настоящего пункта, налогоплательщиком представляется письмо с просьбой направить учетно-контрольные марки на завод-производитель маркируемой продукции с подробным указанием его точных реквизитов.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выдаче учетно-контрольных марок на импортируемую маркируемую продукцию уполномоченным банком составляется в трех экземплярах по форме, утверждаемой уполномоченным налоговым органом. Учетно-контрольные марки выдаются уполномоченным банком налогоплательщику согласно порядковым номерам учетно-контрольных марок, указанным в решении. Первый экземпляр решения органа налоговой службы остается в уполномоченном банке, второй –у налогоплательщика, третий – в органе налоговой службы.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налогоплательщиками осуществляются пересчет и сверка диапазона полученных номеров учетно-контрольных марок с диапазоном номеров, указанных в решении налогового органа.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налоговой службы осуществляют учет и контроль за исполнением производителями и импортерами обязательств по уплате налогов за маркируемую продукцию.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Решение об отправке учетно-контрольных марок на зарубежный завод-производитель маркируемой продукции составляется в двух экземплярах: первый экземпляр решения органа налоговой службы остается в уполномоченном налоговом органе, второй – у налогоплательщика. При этом уполномоченным налоговым органом направляется письмо-заказ компании-изготовителю учетно-контрольных марок об отправке соответствующей партии учетно-контрольных марок на зарубежный завод-производитель маркируемой продукции.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отправке учетно-контрольных марок на зарубежный завод-производитель маркируемой продукции датой приобретения учетно-контрольных марок является дата принятия уполномоченным налоговым органом решения об отправке учетно-контрольных марок на зарубежный завод-производитель маркируемой продукции.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Для маркировки продукции, разлитой или расфасованной в большие емкости, при оформлении заявления на покупку 
 учетно-контрольных марок налогоплательщик предоставляет подтверждение об уплате номинальной стоимости учетно-контрольных марок. После подтверждения объема продукции органами налоговой службы, подлежащего маркировке, и уплаты номинальной стоимости учетно-контрольных марок орган налоговой службы принимает решение о выдаче учетно-контрольных марок.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Решение об отправке учетно-контрольных марок на зарубежный завод-производитель маркируемой продукции принимается органом налоговой службы в течение трех рабочих дней со дня представления налогоплательщиком документов, предусмотренных пунктом 15 настоящего Положения.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Если на момент оформления заявления-расчета на приобретение учетно-контрольных марок в уполномоченном банке нет учетно-контрольных марок необходимого типа или емкости, или требуемые учетно-контрольные марки не были указаны в заказе на производство, то возможна реализация учетно-контрольных марок, находящихся в наличии в уполномоченном банке. Для этого уполномоченный налоговый орган направляет письменное разрешение на обозначение маркируемой продукции имеющимися учетно-контрольными марками с указанием типа, емкости и наименования маркируемой продукции налогоплательщику-покупателю учетно-контрольных марок, в уполномоченный банк, орган налоговой службы по месту налоговой регистрации налогоплательщика-покупателя учетно-контрольных марок, уполномоченные государственные органы в сфере таможенного дела.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Органы налоговой службы контролируют представление налогоплательщиком, производящим или импортирующим маркируемую продукцию, расчетов и иных документов для исчисления налогов.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учета и хранения учетно-контрольных марок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Учетно-контрольные марки являются специальными государственными бланками, а также средством идентификации.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Учетно-контрольные марки изготавливаются на бумажных листах, имеют соответствующие формы и размеры в зависимости от вида маркируемой продукции, один или несколько защитных элементов, наименование и изображение Государственного герба Кыргызской Республики, порядковый номер, электронно-информационный элемент и серию, определяющую вид продукции и диапазон применяемых емкостей.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целях обеспечения сохранности учетно-контрольных марок налогоплательщик обязан выделить специальное помещение или хранить их в несгораемых ящиках (сейфах).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Учетно-контрольные марки приходуются на складе предприятия по номинальной стоимости, уплаченной на специальный блокированный счет в уполномоченном банке, без включения в нее расходов по транспортировке.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На предприятиях, применяющих учетно-контрольные марки, приказом руководителя назначается должностное лицо, ответственное за сохранность учетно-контрольных марок. Должностное лицо выдает 
 учетно-контрольные марки для обозначения продукции под подпись и ведет учет отгруженной продукции и выданных марок с фиксацией типа, емкости, наименования, номеров учетно-контрольных марок и фамилии их получателя.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Налогоплательщик, получивший учетно-контрольные марки, обязан ежеквартально предоставлять отчет о надлежащем использовании учетно-контрольных марок в Кыргызской Республике согласно приложению 2 к настоящему Положению.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Органы налоговой службы обязаны постоянно осуществлять контроль за правильностью списания учетно-контрольных марок на предприятиях-производителях (для чего производят при необходимости инвентаризацию наличия учетно-контрольных марок), сопоставлять количество списанных учетно-контрольных марок с количеством выпущенной и реализованной продукции в бутылках или другой таре.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Возврат неиспользованных и испорченных в процессе наклейки учетно-контрольных марок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 прекращения производства/импорта маркируемой продукции производитель/импортер обязан вернуть все неиспользованные учетно-контрольные марки в уполномоченный банк.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процедуры возврата неиспользованных учетно-контрольных марок производитель/импортер маркируемой продукции обязан в орган налоговой службы по месту получения учетно-контрольных марок представить следующие документы: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письменное заявление с указанием причин возврата учетно-контрольных марок и просьбой разрешить повторно использовать уплаченную номинальную стоимость при следующей покупке учетно-контрольных марок;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реестр с указанием серий, определяющих вид маркируемой продукции, емкостей и порядковых номеров, возвращаемых учетно-контрольных марок на бумажном и электронном носителе;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экземпляр решения о выдаче учетно-контрольных марок.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налоговой службы в месячный срок производит проверку вышеперечисленных документов и принимает решение о возврате учетно-контрольных марок в уполномоченный банк, которое составляется в трех экземплярах. Первый экземпляр решения о возврате учетно-контрольных марок остается в уполномоченном банке, второй – у покупателя учетно-контрольных марок, третий – в органе налоговой службы.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Возврат номинальной стоимости неиспользованных учетно-контрольных марок производится уполномоченным банком в недельный срок по согласованию с соответствующим органом налоговой службы.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случае порчи учетно-контрольных марок в процессе наклейки на заводе-изготовителе маркируемой продукции составляется акт с указанием причин порчи, количества и типов испорченных учетно-контрольных марок. Производитель/импортер обязан вернуть испорченные учетно-контрольные марки в уполномоченный банк.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процедуры возврата производитель/импортер обязан представить в орган налоговой службы по месту получения учетно-контрольных марок следующие документы: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акт о порче учетно-контрольных марок;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реестр с указанием серий, определяющих вид маркируемой продукции, емкостей и порядковых номеров, возвращаемых испорченных учетно-контрольных марок на бумажном и электронном носителе.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налоговой службы в месячный срок производит проверку вышеперечисленных документов и принимает решение о возврате испорченных учетно-контрольных марок в уполномоченный банк, которое составляется в трех экземплярах по форме, утверждаемой органом налоговой службы. Первый экземпляр решения о возврате учетно-контрольных марок остается в уполномоченном банке, второй – у налогоплательщика, третий – в органе налоговой службы.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Учетно-контрольные марки, на которых серии, определяющие вид продукции, емкости, диапазон цен и порядковые номера, визуально полностью не просматриваются и электронно-информационный элемент не идентифицируется, не подлежат возврату в уполномоченный банк.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Учетно-контрольные марки, непригодные для обозначения маркируемой продукции, подлежат комиссионному уничтожению уполномоченным банком при участии представителей соответствующего органа налоговой службы и производителя/импортера.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случае порчи или утраты произведенных маркируемых товаров номинальная стоимость уплачивается в полном размере и/или не подлежит возврату, за исключением случаев, возникших в результате непреодолимой силы. При утрате учетно-контрольных марок не подлежит возврату номинальная стоимость, уплаченная до или в момент приобретения учетно-контрольных марок, за исключением случаев, возникших в результате непреодолимой силы.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случае обнаружения производственного брака налогоплательщик составляет акт об обнаружении бракованных учетно-контрольных марок в присутствии руководителя, главного бухгалтера и лица, ответственного за сохранность учетно-контрольных марок, указывает тип и номера учетно-контрольных марок, номер коробки, а также фотографирует обнаруженные бракованные марки. Далее налогоплательщик предоставляет в орган налоговой службы акт об обнаружении бракованных марок, копию квитанции уплаченной номинальной стоимости при покупке учетно-контрольных марок и фотографии бракованных марок. Органы налоговой службы в недельный срок передают материалы в уполномоченный налоговый орган для последующей передачи компании-изготовителю учетно-контрольных марок для изучения. В случае подтверждения компанией-изготовителем наличия брака налогоплательщик вправе получить учетно-контрольные марки взамен бракованного количества без уплаты номинальной стоимости.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5. Контроль за маркировкой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Маркировка учетно-контрольными марками производимой и импортируемой продукции на территории Кыргызской Республики из государств-членов Евразийского экономического союза осуществляется под налоговым контролем, с территории третьих стран – под таможенным контролем (в том числе на территории таможенного склада и складах временного хранения, включенных в реестр, утверждаемый уполномоченным органом в сфере таможенного дела).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Контроль за наличием и подлинностью учетно-контрольных марок на маркируемой продукции, находящейся в торговой сети (розничной и оптовой), осуществляется органами налоговой службы.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Организации, индивидуальные предприниматели и физические лица, производящие, импортирующие либо реализующие немаркированную маркируемую продукцию на территории Кыргызской Республики, несут ответственность в соответствии с </w:t>
      </w:r>
      <w:hyperlink w:history="1" r:id="rId7hw5ew3hvuwljbvj7v6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и </w:t>
      </w:r>
      <w:hyperlink w:history="1" r:id="rIdutwq7c_bf5i7awey-xv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8"/>
          <w:szCs w:val="28"/>
        </w:rPr>
        <w:t xml:space="preserve">Приложение 1</w:t>
      </w:r>
      <w:r>
        <w:rPr>
          <w:rFonts w:ascii="Arial" w:cs="Arial" w:eastAsia="Arial" w:hAnsi="Arial"/>
          <w:sz w:val="28"/>
          <w:szCs w:val="28"/>
        </w:rPr>
        <w:t xml:space="preserve">
 к Положению о порядке </w:t>
      </w:r>
    </w:p>
    <w:p>
      <w:pPr>
        <w:spacing w:after="120"/>
        <w:jc w:val="left"/>
      </w:pPr>
      <w:r>
        <w:rPr>
          <w:rFonts w:ascii="Arial" w:cs="Arial" w:eastAsia="Arial" w:hAnsi="Arial"/>
          <w:sz w:val="28"/>
          <w:szCs w:val="28"/>
        </w:rPr>
        <w:t xml:space="preserve">выдачи и применения 
 учетно-контрольных марок </w:t>
      </w:r>
    </w:p>
    <w:p>
      <w:pPr>
        <w:spacing w:after="120"/>
        <w:jc w:val="left"/>
      </w:pPr>
      <w:r>
        <w:rPr>
          <w:rFonts w:ascii="Arial" w:cs="Arial" w:eastAsia="Arial" w:hAnsi="Arial"/>
          <w:sz w:val="28"/>
          <w:szCs w:val="28"/>
        </w:rPr>
        <w:t xml:space="preserve">в Кыргызской Республике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
 </w:t>
      </w:r>
      <w:r>
        <w:rPr>
          <w:rFonts w:ascii="Arial" w:cs="Arial" w:eastAsia="Arial" w:hAnsi="Arial"/>
          <w:sz w:val="24"/>
          <w:szCs w:val="24"/>
        </w:rPr>
        <w:t xml:space="preserve">(наименование органа налоговой службы)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Заявление-расчет
 на покупку учетно-контрольных марок
 от «___» _______________ 20___ года № ______
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(заполняется налоговым органом)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38"/>
        <w:gridCol w:w="6740"/>
      </w:tblGrid>
      <w:tr>
        <w:tc>
          <w:tcPr>
            <w:tcW w:type="dxa" w:w="34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Наименование налогоплательщика</w:t>
            </w:r>
          </w:p>
        </w:tc>
        <w:tc>
          <w:tcPr>
            <w:tcW w:type="dxa" w:w="67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Юридический адрес и телефон</w:t>
            </w:r>
          </w:p>
        </w:tc>
        <w:tc>
          <w:tcPr>
            <w:tcW w:type="dxa" w:w="6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ИНН</w:t>
            </w:r>
          </w:p>
        </w:tc>
        <w:tc>
          <w:tcPr>
            <w:tcW w:type="dxa" w:w="6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1"/>
        <w:gridCol w:w="1291"/>
        <w:gridCol w:w="727"/>
        <w:gridCol w:w="1423"/>
        <w:gridCol w:w="995"/>
        <w:gridCol w:w="932"/>
        <w:gridCol w:w="1514"/>
        <w:gridCol w:w="1183"/>
        <w:gridCol w:w="1582"/>
      </w:tblGrid>
      <w:tr>
        <w:tc>
          <w:tcPr>
            <w:tcW w:type="dxa" w:w="5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маркируемой продукции</w:t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марок</w:t>
            </w:r>
          </w:p>
        </w:tc>
        <w:tc>
          <w:tcPr>
            <w:tcW w:type="dxa" w:w="14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продукции</w:t>
            </w:r>
          </w:p>
        </w:tc>
        <w:tc>
          <w:tcPr>
            <w:tcW w:type="dxa" w:w="9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Емкость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(на марке)</w:t>
            </w:r>
          </w:p>
        </w:tc>
        <w:tc>
          <w:tcPr>
            <w:tcW w:type="dxa" w:w="9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Емкость тары</w:t>
            </w:r>
          </w:p>
        </w:tc>
        <w:tc>
          <w:tcPr>
            <w:tcW w:type="dxa" w:w="15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приобретаемых учетно-контрольных марок</w:t>
            </w:r>
          </w:p>
        </w:tc>
        <w:tc>
          <w:tcPr>
            <w:tcW w:type="dxa" w:w="11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Облагаемый объем</w:t>
            </w:r>
          </w:p>
        </w:tc>
        <w:tc>
          <w:tcPr>
            <w:tcW w:type="dxa" w:w="1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Номинальная стоимость учетно-контрольных марок (сомов)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8"/>
          <w:szCs w:val="28"/>
        </w:rPr>
        <w:t xml:space="preserve">Номинальная стоимость марок уплачена на счет № _________________ согласно платежному документу от «___» ______________ 20__ года № _____</w:t>
      </w:r>
      <w:r>
        <w:rPr>
          <w:rFonts w:ascii="Arial" w:cs="Arial" w:eastAsia="Arial" w:hAnsi="Arial"/>
          <w:sz w:val="28"/>
          <w:szCs w:val="28"/>
        </w:rPr>
        <w:t xml:space="preserve">в сумме __________________________________________</w:t>
      </w:r>
      <w:r>
        <w:rPr>
          <w:rFonts w:ascii="Arial" w:cs="Arial" w:eastAsia="Arial" w:hAnsi="Arial"/>
          <w:sz w:val="28"/>
          <w:szCs w:val="28"/>
        </w:rPr>
        <w:t xml:space="preserve">_</w:t>
      </w:r>
      <w:r>
        <w:rPr>
          <w:rFonts w:ascii="Arial" w:cs="Arial" w:eastAsia="Arial" w:hAnsi="Arial"/>
          <w:sz w:val="28"/>
          <w:szCs w:val="28"/>
        </w:rPr>
        <w:t xml:space="preserve"> сомов.
 </w:t>
      </w:r>
      <w:r>
        <w:rPr>
          <w:rFonts w:ascii="Arial" w:cs="Arial" w:eastAsia="Arial" w:hAnsi="Arial"/>
          <w:sz w:val="24"/>
          <w:szCs w:val="24"/>
        </w:rPr>
        <w:t xml:space="preserve"> (прописью)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8"/>
          <w:szCs w:val="28"/>
        </w:rPr>
        <w:t xml:space="preserve">М.</w:t>
      </w:r>
      <w:r>
        <w:rPr>
          <w:rFonts w:ascii="Arial" w:cs="Arial" w:eastAsia="Arial" w:hAnsi="Arial"/>
          <w:sz w:val="28"/>
          <w:szCs w:val="28"/>
        </w:rPr>
        <w:t xml:space="preserve">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8"/>
          <w:szCs w:val="28"/>
        </w:rPr>
        <w:t xml:space="preserve">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(подпись)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8"/>
          <w:szCs w:val="28"/>
        </w:rPr>
        <w:t xml:space="preserve">Главный бухгалтер: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8"/>
          <w:szCs w:val="28"/>
        </w:rPr>
        <w:t xml:space="preserve">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Приложение 2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к </w:t>
      </w:r>
      <w:r>
        <w:rPr>
          <w:rFonts w:ascii="Arial" w:cs="Arial" w:eastAsia="Arial" w:hAnsi="Arial"/>
          <w:sz w:val="28"/>
          <w:szCs w:val="28"/>
        </w:rPr>
        <w:t xml:space="preserve">Положению о порядке выдачи и применения учетно-контрольных марок в Кыргызской Республике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Отчет
 о надлежащем использовании учетно-контрольных марок в Кыргызской Республике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8"/>
          <w:szCs w:val="28"/>
        </w:rPr>
        <w:t xml:space="preserve">___________________________________________________________________________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(наименование, ИНН и адрес местонахождения импортера, осуществляющего
 производство, ввоз (импорт) маркируемой продукции)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2"/>
        <w:gridCol w:w="1049"/>
        <w:gridCol w:w="735"/>
        <w:gridCol w:w="841"/>
        <w:gridCol w:w="880"/>
        <w:gridCol w:w="802"/>
        <w:gridCol w:w="735"/>
        <w:gridCol w:w="735"/>
        <w:gridCol w:w="736"/>
        <w:gridCol w:w="736"/>
        <w:gridCol w:w="734"/>
        <w:gridCol w:w="734"/>
        <w:gridCol w:w="575"/>
        <w:gridCol w:w="575"/>
      </w:tblGrid>
      <w:tr>
        <w:tc>
          <w:tcPr>
            <w:tcW w:type="dxa" w:w="31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04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решения на полу-чение учетно-контроль-ных марок</w:t>
            </w:r>
          </w:p>
        </w:tc>
        <w:tc>
          <w:tcPr>
            <w:tcW w:type="dxa" w:w="73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реше-ния на полу-чение учет-но-кон-троль-ных марок </w:t>
            </w:r>
          </w:p>
        </w:tc>
        <w:tc>
          <w:tcPr>
            <w:tcW w:type="dxa" w:w="84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мар-кируе-мой про-дукции</w:t>
            </w:r>
          </w:p>
        </w:tc>
        <w:tc>
          <w:tcPr>
            <w:tcW w:type="dxa" w:w="88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Наиме-нование марки-руемой продук-ции, на которую исполь-зованы учетно-кон-троль-ные марки </w:t>
            </w:r>
          </w:p>
        </w:tc>
        <w:tc>
          <w:tcPr>
            <w:tcW w:type="dxa" w:w="80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Ем-кость (на марке)</w:t>
            </w:r>
          </w:p>
        </w:tc>
        <w:tc>
          <w:tcPr>
            <w:tcW w:type="dxa" w:w="147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Выдано учетно-контрольных марок</w:t>
            </w:r>
          </w:p>
        </w:tc>
        <w:tc>
          <w:tcPr>
            <w:tcW w:type="dxa" w:w="147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Использовано учетно-контрольных марок для маркировки маркируемой продукции</w:t>
            </w:r>
          </w:p>
        </w:tc>
        <w:tc>
          <w:tcPr>
            <w:tcW w:type="dxa" w:w="146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Возвращено в налоговый орган испорченных и (или) неисполь-зованных учетно-контрольных марок</w:t>
            </w:r>
          </w:p>
        </w:tc>
        <w:tc>
          <w:tcPr>
            <w:tcW w:type="dxa" w:w="115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неисполь-зованных учетно-контроль-ных марок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и диапа-зон номе-ров учет-но-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троль-ных марок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коли-чес-тво (штук)</w:t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серия и диа-пазон номе-ров</w:t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коли-чество (штук)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серия и диа-пазон номе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ров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коли-чество (штук)</w:t>
            </w:r>
          </w:p>
        </w:tc>
        <w:tc>
          <w:tcPr>
            <w:tcW w:type="dxa" w:w="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серия и диа-пазон номе-ров</w:t>
            </w:r>
          </w:p>
        </w:tc>
        <w:tc>
          <w:tcPr>
            <w:tcW w:type="dxa" w:w="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коли-чество (штук)</w:t>
            </w:r>
          </w:p>
        </w:tc>
      </w:tr>
      <w:tr>
        <w:tc>
          <w:tcPr>
            <w:tcW w:type="dxa" w:w="3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4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8"/>
          <w:szCs w:val="28"/>
        </w:rPr>
        <w:t xml:space="preserve">Всего выдано _______ штук учетно-контрольных марок,</w:t>
      </w:r>
      <w:r>
        <w:rPr>
          <w:rFonts w:ascii="Arial" w:cs="Arial" w:eastAsia="Arial" w:hAnsi="Arial"/>
          <w:sz w:val="28"/>
          <w:szCs w:val="28"/>
        </w:rPr>
        <w:t xml:space="preserve">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использовано для маркировки _______ штук;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возвращено _______ штук;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остаток _______ штук.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Приложение к отчету на _____ листах.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8"/>
          <w:szCs w:val="28"/>
        </w:rPr>
        <w:t xml:space="preserve">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8"/>
          <w:szCs w:val="28"/>
        </w:rPr>
        <w:t xml:space="preserve">________________________
 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8"/>
          <w:szCs w:val="28"/>
        </w:rPr>
        <w:t xml:space="preserve">Главный бухгалтер
 </w:t>
      </w:r>
      <w:r>
        <w:rPr>
          <w:rFonts w:ascii="Arial" w:cs="Arial" w:eastAsia="Arial" w:hAnsi="Arial"/>
          <w:sz w:val="24"/>
          <w:szCs w:val="24"/>
        </w:rPr>
        <w:t xml:space="preserve">(при его наличии)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8"/>
          <w:szCs w:val="28"/>
        </w:rPr>
        <w:t xml:space="preserve">________________________
 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 М.</w:t>
      </w:r>
      <w:r>
        <w:rPr>
          <w:rFonts w:ascii="Arial" w:cs="Arial" w:eastAsia="Arial" w:hAnsi="Arial"/>
          <w:sz w:val="28"/>
          <w:szCs w:val="28"/>
        </w:rPr>
        <w:t xml:space="preserve">П.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szi5svnqvx2m1lm_im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dalil.kg/document/230029118</w:t>
      </w:r>
    </w:hyperlink>
  </w:p>
  <w:p>
    <w:pPr>
      <w:spacing w:after="0" w:before="40"/>
      <w:jc w:val="center"/>
    </w:pPr>
    <w:hyperlink w:history="1" r:id="rId6dcuqsrsqo3inghqixq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igia8hkz8ajygtd_tmw0" Type="http://schemas.openxmlformats.org/officeDocument/2006/relationships/hyperlink" Target="https://dalil.kg/document/230029108" TargetMode="External"/><Relationship Id="rIdfa9uuowbrwambbeyggese" Type="http://schemas.openxmlformats.org/officeDocument/2006/relationships/hyperlink" Target="https://dalil.kg/document/112340" TargetMode="External"/><Relationship Id="rIdote4a-ak97i1zhzcihgu9" Type="http://schemas.openxmlformats.org/officeDocument/2006/relationships/hyperlink" Target="https://dalil.kg/document/230029118#pr1" TargetMode="External"/><Relationship Id="rId7hw5ew3hvuwljbvj7v6bi" Type="http://schemas.openxmlformats.org/officeDocument/2006/relationships/hyperlink" Target="https://dalil.kg/document/112306" TargetMode="External"/><Relationship Id="rIdutwq7c_bf5i7awey-xvcg" Type="http://schemas.openxmlformats.org/officeDocument/2006/relationships/hyperlink" Target="https://dalil.kg/document/11230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szi5svnqvx2m1lm_imos" Type="http://schemas.openxmlformats.org/officeDocument/2006/relationships/hyperlink" Target="https://dalil.kg/document/230029118" TargetMode="External"/><Relationship Id="rId6dcuqsrsqo3inghqixqe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2026-09-23T18:19:11.653Z</dcterms:created>
  <dcterms:modified xsi:type="dcterms:W3CDTF">2026-09-23T18:19:11.653Z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