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2025 года № 354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утверждении Правил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 при Кабинете Министров Кыргызской Республики" от 13 сентября 2024 года № 559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необходимых условий для управления средствами пенсионных накоплений, в соответствии со </w:t>
      </w:r>
      <w:hyperlink w:history="1" r:id="rIdgvhe9aljenufu-g7rfg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Республике", статьями </w:t>
      </w:r>
      <w:hyperlink w:history="1" r:id="rIdsv7adv_leu3w1mjbzh7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-01ow4wtfz22gz_1la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xriwwlpxiuak0qq497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Правил</w:t>
      </w:r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 при Кабинете Министров Кыргызской Республики" от 13 сентября 2024 года № 559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Правилах</w:t>
      </w:r>
      <w:r>
        <w:rPr>
          <w:rFonts w:ascii="Arial" w:cs="Arial" w:eastAsia="Arial" w:hAnsi="Arial"/>
          <w:sz w:val="24"/>
          <w:szCs w:val="24"/>
        </w:rPr>
        <w:t xml:space="preserve"> управления средствами пенсионных накоплений, формируемых в пользу застрахованных лиц, не воспользовавшихся правом выбора управляющей компании, Социальным фондом Кыргызской Республики при Кабинете Министров Кыргызской Республики, утвержденных вышеуказанным </w:t>
      </w:r>
      <w:hyperlink w:history="1" r:id="rIdoq7hck5giufupm6tcwg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4: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цифры "25" заменить цифрами "20";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подпунктом 9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"9) акции кыргызских эмитентов, созданных в форме открытых акционерных обществ, в размере не более 10 процентов стоимости пенсионных накоплений.";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r>
        <w:rPr>
          <w:rFonts w:ascii="Arial" w:cs="Arial" w:eastAsia="Arial" w:hAnsi="Arial"/>
          <w:sz w:val="24"/>
          <w:szCs w:val="24"/>
        </w:rPr>
        <w:t xml:space="preserve">главой 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Глава 4</w:t>
      </w:r>
      <w:r>
        <w:rPr>
          <w:rFonts w:ascii="Arial" w:cs="Arial" w:eastAsia="Arial" w:hAnsi="Arial"/>
          <w:sz w:val="24"/>
          <w:szCs w:val="24"/>
        </w:rPr>
        <w:t xml:space="preserve">. Критерии отбора организации для размещения средств
 пенсионных накоплений в акции кыргызских эмитентов, созданных
 в форме открытых акционерных обществ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Критерии отбора организации для размещения средств пенсионных накоплений в акции кыргызских эмитентов, созданных в форме открытых акционерных обществ: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эмитент должен являться юридическим лицом Кыргызской Республики и быть созданным в форме открытого акционерного общества в соответствии с требованиями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акции, выпущенные эмитентами Кыргызской Республики, созданными в форме открытых акционерных обществ, должны соответствовать требованиям законодательства Кыргызской Республики в сфере регулирования рынка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эмитент не должен иметь задолженности по налоговым и другим обязательным платежам в государственный бюджет Кыргызской Республики, по страховым взносам по государственному социальному страхованию;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финансовая отчетность эмитента должна быть подтверждена заключением независимого аудитора.".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июня 2025 года № 46 (3702)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wwykexjsqrlfaphwj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dalil.kg/document/230029130</w:t>
      </w:r>
    </w:hyperlink>
  </w:p>
  <w:p>
    <w:pPr>
      <w:spacing w:after="0" w:before="40"/>
      <w:jc w:val="center"/>
    </w:pPr>
    <w:hyperlink w:history="1" r:id="rId8vdj3bmfxdluwkac5nn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he9aljenufu-g7rfgfo" Type="http://schemas.openxmlformats.org/officeDocument/2006/relationships/hyperlink" Target="https://dalil.kg/document/203321#st_5" TargetMode="External"/><Relationship Id="rIdsv7adv_leu3w1mjbzh76i" Type="http://schemas.openxmlformats.org/officeDocument/2006/relationships/hyperlink" Target="https://dalil.kg/document/112301#st_13" TargetMode="External"/><Relationship Id="rIdc-01ow4wtfz22gz_1ladc" Type="http://schemas.openxmlformats.org/officeDocument/2006/relationships/hyperlink" Target="https://dalil.kg/document/112301#st_17" TargetMode="External"/><Relationship Id="rId_xriwwlpxiuak0qq4979h" Type="http://schemas.openxmlformats.org/officeDocument/2006/relationships/hyperlink" Target="https://dalil.kg/document/230013851" TargetMode="External"/><Relationship Id="rIdoq7hck5giufupm6tcwgl5" Type="http://schemas.openxmlformats.org/officeDocument/2006/relationships/hyperlink" Target="https://dalil.kg/document/23001385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wwykexjsqrlfaphwjef" Type="http://schemas.openxmlformats.org/officeDocument/2006/relationships/hyperlink" Target="https://dalil.kg/document/230029130" TargetMode="External"/><Relationship Id="rId8vdj3bmfxdluwkac5nn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2026-09-27T09:20:44.713Z</dcterms:created>
  <dcterms:modified xsi:type="dcterms:W3CDTF">2026-09-27T09:20:44.713Z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