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осуществлению охраны и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семейного насилия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mxncy8ye5wngsiy8-b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норм </w:t>
      </w:r>
      <w:hyperlink w:history="1" r:id="rId4eoyh4spv4zxwkhj3u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законов Кыргызской Республики </w:t>
      </w:r>
      <w:hyperlink w:history="1" r:id="rIdyr9riuurtgrvcfjsgpr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основах профилактики правонарушений»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esmu_1mapzhrlxxhxd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охране и защите от семейного насилия»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p9r4vmyo43zfra6v-5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umuqq7fll_wg7uxr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Методику проведения оценки рисков семейного насилия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eiwlg-7b2cr5a71ej6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форму временного охранного ордера согласно </w:t>
      </w:r>
      <w:hyperlink w:history="1" r:id="rIdwif3exwscjimjzll6q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Типовую коррекционную программу по изменению насильственного поведения лиц, совершивших семейное насилие</w:t>
      </w:r>
      <w:r>
        <w:rPr>
          <w:rFonts w:ascii="Arial" w:cs="Arial" w:eastAsia="Arial" w:hAnsi="Arial"/>
          <w:sz w:val="24"/>
          <w:szCs w:val="24"/>
        </w:rPr>
        <w:t xml:space="preserve">, согласно </w:t>
      </w:r>
      <w:hyperlink w:history="1" r:id="rIdsmgukbkuqvgd21odgz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8z54oluh0eyaw9h9ev0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электронного наблюдения и технических средств контроля в отношении лиц, совершивших семейное насилие,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kcvli26jhoinc8myw7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юстиции Кыргызской Республики, Государственной службе исполнения наказаний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 принять меры, вытекающие из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привести свои решения в соответствие с настоящим постановлением;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провести информационную и разъяснительную работу среди населения, а также государственных органов и органов местного самоуправления по вопросам реализации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Генеральной прокуратуре Кыргызской Республики (по согласованию) совместно с государственными органами проработать вопрос формирования и предоставления отчетности по семейному насилию в порядке, установленном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nr074g-d3wd0i5fghw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формы охранного ордера» от 3 октября 2017 года № 642;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абзац четвертый пункта 1 </w:t>
      </w:r>
      <w:hyperlink w:history="1" r:id="rIds6be6ml32p1qgdpfr87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осуществления охраны и защиты от семейного насилия» от 1 августа 2019 года № 390;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постановление Правительства Кыргызской Республики «О внесении изменений в постановление Правительства Кыргызской Республики «Об утверждении формы охранного ордера» от 3 октября 2017 года № 642» от 30 октября 2020 года № 528.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июля 2025 года № 53 (3709)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b8infrzqi4m6zmehic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539"/>
        <w:gridCol w:w="539"/>
        <w:gridCol w:w="539"/>
      </w:tblGrid>
      <w:tr>
        <w:tc>
          <w:tcPr>
            <w:tcW w:type="dxa" w:w="8568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3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должностного лица
 (при необходимости)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523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805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на которого возложен контроль ВОО (должность, фамилия, имя, отчество, конт. тел.)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33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 (в случае нескольких пострадавших, экземпляр выдается каждому)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44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5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 ________________________________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работы/учебы/должность:</w:t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 ОВД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применения электронного наблюдения приближения: _____ метров, № _____ адрес/объект</w:t>
            </w:r>
          </w:p>
        </w:tc>
      </w:tr>
      <w:tr>
        <w:tc>
          <w:tcPr>
            <w:tcW w:type="dxa" w:w="14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949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803"/>
        <w:gridCol w:w="803"/>
      </w:tblGrid>
      <w:tr>
        <w:tc>
          <w:tcPr>
            <w:tcW w:type="dxa" w:w="856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85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пострадавшей стороны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2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31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представителю):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2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9460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для лица, пострадавшего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об оказании помощи пострадавшим)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swhrc3nzhud39uhdnyr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-wbdl8invhbdjwoye7ba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 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810"/>
        <w:gridCol w:w="810"/>
      </w:tblGrid>
      <w:tr>
        <w:tc>
          <w:tcPr>
            <w:tcW w:type="dxa" w:w="8554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_____________</w:t>
            </w:r>
          </w:p>
        </w:tc>
      </w:tr>
      <w:tr>
        <w:tc>
          <w:tcPr>
            <w:tcW w:type="dxa" w:w="197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лица, совершившего семейное насилие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________________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6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9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для лица, совершившего семейное насилие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охранный ордер - это документ, предоставляющий государственную защиту пострадавшему от семейного насилия и влекущий применение предусмотренных законом мер воздействия в отношении лица, совершившего семейное насилие.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ziogfunb-wnzty4jut4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профилактики правонарушений", в целях профилактики семейного насилия лицо, совершившее семейное насилие, относится к объектам специальной профилактики правонарушений, в отношении которых могут применяться меры профилактического воздействия,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профилактической беседы;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вынесение официального предупреждения;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иные меры, не противоречащие законодательству Кыргызской Республики, не нарушающие основные права и свободы человека и гражданина, а также не предусматривающие неправомерных ограничений его прав.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нарушения условий временного охранного ордера лицо, совершившее семейное насилие, несет ответственность в соответствии со </w:t>
            </w:r>
            <w:hyperlink w:history="1" r:id="rId8ftm29wufu8fptdjno2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правонарушениях.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Неисполнение условий временного охранного ордера, выданного в целях защиты пострадавшего от семейного насилия, при отсутствии в деянии признаков преступления, влечет наложение взыскания в виде привлечения к общественным работам сроком на 40 часов либо применение ареста сроком от семи до четырнадцати суток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 мобильном и иных видах контроля)</w:t>
            </w:r>
          </w:p>
        </w:tc>
      </w:tr>
      <w:tr>
        <w:tc>
          <w:tcPr>
            <w:tcW w:type="dxa" w:w="46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</w:t>
            </w:r>
          </w:p>
        </w:tc>
      </w:tr>
      <w:tr>
        <w:tc>
          <w:tcPr>
            <w:tcW w:type="dxa" w:w="65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5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ylcn77kqllgzjpel4kl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e5f-t5p54dw14ojgh7j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коррекционная 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изменению насильственного поведения для лиц,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совершивших семейное насили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Типовая коррекционная программа по изменению насильственного поведения для лиц, совершивших семейное насилие (далее – Программа), определяет порядок коррекционного воздействия на лиц, совершивших семейное насилие, направленных на прохождение программы по решению суда и устанавливает единые правила проведения коррекционной программы уполномоченными органами.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Целью Программы является формирование навыков безопасного и уважительного поведения лица, совершившего семейное насилие, снижение риска повторного совершения семейного насилия.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Задачами Программы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обучение лица, совершившего семейное насилие, методам управления эмоциями и навыкам конструктивного общения;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осознание последствий насильственного поведения для членов семьи;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формирование понимания личной ответственности и правовых последствий, связанных с совершением семейного насилия;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коррекция убеждений и установок, способствующих совершению семейного насилия.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настоящей Программе использованы следующие основные понятия: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 ведущие Программы</w:t>
      </w:r>
      <w:r>
        <w:rPr>
          <w:rFonts w:ascii="Arial" w:cs="Arial" w:eastAsia="Arial" w:hAnsi="Arial"/>
          <w:sz w:val="24"/>
          <w:szCs w:val="24"/>
        </w:rPr>
        <w:t xml:space="preserve"> – сотрудники уполномоченного органа, ответственные за проведение занятий, контроль посещаемости и оценку результатов, обученные навыкам проведения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групповое занятие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занятие Программы,</w:t>
      </w:r>
      <w:r>
        <w:rPr>
          <w:rFonts w:ascii="Arial" w:cs="Arial" w:eastAsia="Arial" w:hAnsi="Arial"/>
          <w:sz w:val="24"/>
          <w:szCs w:val="24"/>
        </w:rPr>
        <w:t xml:space="preserve">проводимое для участников, нуждающихся в формировании навыков социального взаимодействия и поддержки в коллективе, направленное на укрепление навыков конструктивного общения;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 заключительная оценка</w:t>
      </w:r>
      <w:r>
        <w:rPr>
          <w:rFonts w:ascii="Arial" w:cs="Arial" w:eastAsia="Arial" w:hAnsi="Arial"/>
          <w:sz w:val="24"/>
          <w:szCs w:val="24"/>
        </w:rPr>
        <w:t xml:space="preserve"> – итоговая оценка результатов прохождения Программы, на основании которой формируется вывод о достигнутых изменениях в поведении участника и необходимости дальнейших профилактических мер;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 индивидуальное занятие</w:t>
      </w:r>
      <w:r>
        <w:rPr>
          <w:rFonts w:ascii="Arial" w:cs="Arial" w:eastAsia="Arial" w:hAnsi="Arial"/>
          <w:sz w:val="24"/>
          <w:szCs w:val="24"/>
        </w:rPr>
        <w:t xml:space="preserve"> – занятие Программы, проводимое для участника, которому требуется индивидуальный подход с учетом его личных особенностей, направленное на детальное изучение личных убеждений и мотивации участника;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 когнитивно-поведенческая терапия</w:t>
      </w:r>
      <w:r>
        <w:rPr>
          <w:rFonts w:ascii="Arial" w:cs="Arial" w:eastAsia="Arial" w:hAnsi="Arial"/>
          <w:sz w:val="24"/>
          <w:szCs w:val="24"/>
        </w:rPr>
        <w:t xml:space="preserve"> (далее – КПТ) – метод психотерапии, направленный на изменение деструктивных убеждений и моделей поведения, которые способствуют агрессии и насилию;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6) первичная оценка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процесс, в ходе которого проводится начальный анализ состояния и потребностей участника Программы с целью определения особенностей поведения, мотивации и факторов, которые могут способствовать или препятствовать успешному прохождению Программы;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7) промежуточная оценка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оценка прогресса участника, проводимая на середине основного этапа Программы, позволяющая определить степень усвоения материала и необходимость корректировок в дальнейшей работе, чтобы обеспечить достижение целей программы;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8) 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– орган, исполняющий принудительную меру уголовно-правового воздействия в виде прохождения Программы и дополнительное правовое последствие в виде прохождения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9) участник Программы</w:t>
      </w:r>
      <w:r>
        <w:rPr>
          <w:rFonts w:ascii="Arial" w:cs="Arial" w:eastAsia="Arial" w:hAnsi="Arial"/>
          <w:sz w:val="24"/>
          <w:szCs w:val="24"/>
        </w:rPr>
        <w:t xml:space="preserve"> – лицо, совершившее семейное насилие, направленное на прохождение Программы по решению суда.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Настоящая Программа построена на методе КПТ и помогает участникам осознать и изменить негативные когнитивные установки, ведущие к насильственному поведению, заменяя его на более конструктивные и уважительные способы взаимодействия.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Программа осуществляется в соответствии с методиками, утверждаемыми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Этапы прохождения и продолжительность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Прохождение Программы разделяется на следующие этапы: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вводный этап заключается в проведении оценки соответствия участника обязательным условиям прохождения Программы, ознакомлении участника с целями и задачами Программы, разъяснении ответственности за соблюдение условий Программы, подписании обязательства о прохождении, включающего правила и требования прохождения Программы;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этап включает в себя проведение индивидуальных и групповых занятий, направленных на коррекцию насильственного поведения;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заключительный этап содержит составление заключительной оценки результатов, подведение итогов и выдачу заключения о прохождении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Продолжительность Программы составляет три месяца, включает в себя индивидуальные и групповые занятия.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занятия составляет: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индивидуальное – 1 час;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групповое – 2 часа.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содержание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Программа состоит из тринадцати занятий и включает следующие темы занятий: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вводный этап: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«Введение в Программу, подписание обязательства, разъяснение условий и ответственности»;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этап: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«Жестокое обращение как преднамеренное применение силы»;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«Характеристика уважительных отношений»;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«Факторы, мешающие уважительным взаимоотношениям»;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«Поведение без насилия и анализ физического насилия»;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«Определение эмоций. Гнев и его накопление»;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«Техники по преодолению гнева. Релаксация»;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«Саморегуляция. Ошибки мышления (когнитивные искажения)»;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«Последствия насилия и жестокого обращения. Цикл насилия»;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«Колесо власти и контроля. Колесо равенства»;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«Влияние жестокого обращения на детей»;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заключительный этап: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«Уважительное общение и навыки коммуникации»;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«Эмпатия и уважение»;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«План безопасного поведения»;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«Подведение итогов и оценка достигнутых результатов».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Программа может быть проведена индивидуально или в группе.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 Количество участников в группе определяется ведущим Программы с учетом обеспечения эффективного участия каждого и соблюдения условий конфиденциальности, но не должно превышать десяти участников.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проведения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12. 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организует помещения для проведения Программы;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утверждает правила отбора ведущих Программы;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проводит отбор ведущих из числа сотрудников в соответствии с утвержденными правилами;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организует обучение и назначает ведущих Программ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Ведущий Программы: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проводит занятия в соответствии с Методикой</w:t>
      </w:r>
      <w:r>
        <w:rPr>
          <w:rFonts w:ascii="Arial" w:cs="Arial" w:eastAsia="Arial" w:hAnsi="Arial"/>
          <w:sz w:val="24"/>
          <w:szCs w:val="24"/>
        </w:rPr>
        <w:t xml:space="preserve"> проведения оценки рисков семейного насилия по изменению насильственного поведения для лиц, совершивших семейное насилие</w:t>
      </w:r>
      <w:r>
        <w:rPr>
          <w:rFonts w:ascii="Arial" w:cs="Arial" w:eastAsia="Arial" w:hAnsi="Arial"/>
          <w:sz w:val="24"/>
          <w:szCs w:val="24"/>
        </w:rPr>
        <w:t xml:space="preserve">, утвержденной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контролирует посещаемость и активность участников;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 промежуточную и заключительную оценки прохождения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конфиденциальность личной информации участников Программы.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 Участник Программы: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обязуется соблюдать правила и условия участия в Программе, в том числе посещать все занятия и выполнять установленные задания;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сотрудничает с ведущим Программы, проявляя открытость к обсуждению и проработке личных убеждений и установок, связанных с насильственным поведением;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соблюдает конфиденциальность, исключая разглашение личной информации других участников, обсуждаемой в ходе занятий.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 Помещение для проведения Программы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быть достаточно просторным для размещения всех участников, ведущих и необходимого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иметь надлежащую вентиляцию, освещение и условия для поддержания комфортной температуры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быть оборудованным необходимой мебелью и техникой, рассчитанной на количество участников, с возможностью организации групповых и индивидуальных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обеспечивать конфиденциальность процесса, исключая доступ посторонних лиц во время проведения занятий;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отвечать нормам безопасности, включая наличие аварийных выходов и первичных средств пожаротушения.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16. Программа проводится двумя ведущими разного пола. В исключительных случаях (отсутствие сотрудника другого пола, нахождение в трудовом отпуске, отпуске по нетрудоспособности и др.) Программу могут проводить ведущие одного пола.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17. Программа проводится на государственном и (или) официальном языках. Проведение Программы на языке, которым не владеет участник, не допускается.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Обязательные условия прохождения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 Участие в Программе является обязательным и включает в себя условия ее прохождения, обеспечивающие эффективное участие, соблюдение дисциплины и максимальную результативность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 Обязательными условиями прохождения Программы являются: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регистрация и первичная оценка;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соблюдение расписания и обязательное присутствие;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соблюдение правил поведения, этики, инструкций и рекомендаций ведущих;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запрет на участие в состоянии алкогольного или наркотического опьянения;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активное участие в занятиях и оценках;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проведение оценок и мониторинг;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недопущение обсуждения или демонстрации насильственного поведения, направленного на поддержание насилия;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готовность к завершению Программы и дальнейшему контролю.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 Несоблюдение участником обязательных условий прохождения Программы приравнивается к уклонению от ее прохождения, что влечет за собой его исключение из Программы и прекращение исполнения решения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 В случае выявления нарушения участником обязательных условий прохождения Программы, ведущим составляется соответствующий акт.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участником более трех нарушений условий прохождения Программы, уполномоченный сотрудник направляет уведомление в соответствующие органы для принятия мер в порядке, установленном статьей 72 Кодекса Кыргызской Республики о правонарушениях.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Подведение итогов и оценка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 По завершении Программы проводится заключительная оценка на каждого участника Программы. Форма и содержание первичной и заключительной оценок утверждается уполномоченным органом.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 Заключение о прохождении Программы направляется в орган внутренних дел для организации последующей профилактической работы с лицом, завершившим участие в Программе. Копия заключения приобщается к личному делу участника.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 Уполномоченный орган проводит оценку эффективности Программы в целях измерения того, насколько Программа достигает своих целей и задач по изменению насильственного поведения.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включает в себя два подхода: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изменения в установках и убеждениях участника Программы, содержащихся в выводе заключительной оценки;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данных о повторном совершении семейного насилия участником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l-ixahwhtk5el_fdj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dalil.kg/document/230029361</w:t>
      </w:r>
    </w:hyperlink>
  </w:p>
  <w:p>
    <w:pPr>
      <w:spacing w:after="0" w:before="40"/>
      <w:jc w:val="center"/>
    </w:pPr>
    <w:hyperlink w:history="1" r:id="rId1t8_jrgefmn5eur1w5o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xncy8ye5wngsiy8-bli" Type="http://schemas.openxmlformats.org/officeDocument/2006/relationships/hyperlink" Target="https://dalil.kg/document/230044649" TargetMode="External"/><Relationship Id="rId4eoyh4spv4zxwkhj3ujnu" Type="http://schemas.openxmlformats.org/officeDocument/2006/relationships/hyperlink" Target="https://dalil.kg/document/112306" TargetMode="External"/><Relationship Id="rIdyr9riuurtgrvcfjsgprhj" Type="http://schemas.openxmlformats.org/officeDocument/2006/relationships/hyperlink" Target="https://dalil.kg/document/112231" TargetMode="External"/><Relationship Id="rIdpesmu_1mapzhrlxxhxdd2" Type="http://schemas.openxmlformats.org/officeDocument/2006/relationships/hyperlink" Target="https://dalil.kg/document/111570" TargetMode="External"/><Relationship Id="rIdp9r4vmyo43zfra6v-5tfq" Type="http://schemas.openxmlformats.org/officeDocument/2006/relationships/hyperlink" Target="https://dalil.kg/document/112301#st13" TargetMode="External"/><Relationship Id="rId4fumuqq7fll_wg7uxrc3k" Type="http://schemas.openxmlformats.org/officeDocument/2006/relationships/hyperlink" Target="https://dalil.kg/document/112301#st17" TargetMode="External"/><Relationship Id="rIdeiwlg-7b2cr5a71ej6r8p" Type="http://schemas.openxmlformats.org/officeDocument/2006/relationships/hyperlink" Target="https://dalil.kg/document/230029366" TargetMode="External"/><Relationship Id="rIdwif3exwscjimjzll6qu7y" Type="http://schemas.openxmlformats.org/officeDocument/2006/relationships/hyperlink" Target="https://dalil.kg/document/230029361#pr2" TargetMode="External"/><Relationship Id="rIdsmgukbkuqvgd21odgzxva" Type="http://schemas.openxmlformats.org/officeDocument/2006/relationships/hyperlink" Target="https://dalil.kg/document/230029361#pr3" TargetMode="External"/><Relationship Id="rId8z54oluh0eyaw9h9ev0yf" Type="http://schemas.openxmlformats.org/officeDocument/2006/relationships/hyperlink" Target="https://dalil.kg/document/230044604" TargetMode="External"/><Relationship Id="rIdokcvli26jhoinc8myw7i6" Type="http://schemas.openxmlformats.org/officeDocument/2006/relationships/hyperlink" Target="https://dalil.kg/document/230044649" TargetMode="External"/><Relationship Id="rIdnr074g-d3wd0i5fghws1t" Type="http://schemas.openxmlformats.org/officeDocument/2006/relationships/hyperlink" Target="https://dalil.kg/document/10022" TargetMode="External"/><Relationship Id="rIds6be6ml32p1qgdpfr87an" Type="http://schemas.openxmlformats.org/officeDocument/2006/relationships/hyperlink" Target="https://dalil.kg/document/14713" TargetMode="External"/><Relationship Id="rId4b8infrzqi4m6zmehictk" Type="http://schemas.openxmlformats.org/officeDocument/2006/relationships/hyperlink" Target="https://dalil.kg/document/230044649" TargetMode="External"/><Relationship Id="rIdswhrc3nzhud39uhdnyrfe" Type="http://schemas.openxmlformats.org/officeDocument/2006/relationships/hyperlink" Target="https://dalil.kg/document/111570" TargetMode="External"/><Relationship Id="rId-wbdl8invhbdjwoye7baw" Type="http://schemas.openxmlformats.org/officeDocument/2006/relationships/hyperlink" Target="https://dalil.kg/document/112306" TargetMode="External"/><Relationship Id="rIdziogfunb-wnzty4jut4cn" Type="http://schemas.openxmlformats.org/officeDocument/2006/relationships/hyperlink" Target="https://dalil.kg/document/112231" TargetMode="External"/><Relationship Id="rId8ftm29wufu8fptdjno2oy" Type="http://schemas.openxmlformats.org/officeDocument/2006/relationships/hyperlink" Target="https://dalil.kg/document/112306#st_71" TargetMode="External"/><Relationship Id="rIdylcn77kqllgzjpel4klob" Type="http://schemas.openxmlformats.org/officeDocument/2006/relationships/hyperlink" Target="https://dalil.kg/document/111570" TargetMode="External"/><Relationship Id="rIde5f-t5p54dw14ojgh7jxy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l-ixahwhtk5el_fdjlv" Type="http://schemas.openxmlformats.org/officeDocument/2006/relationships/hyperlink" Target="https://dalil.kg/document/230029361" TargetMode="External"/><Relationship Id="rId1t8_jrgefmn5eur1w5o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2026-09-24T13:45:56.796Z</dcterms:created>
  <dcterms:modified xsi:type="dcterms:W3CDTF">2026-09-24T13:45:56.796Z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