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 от 12 июля 2024 года № 375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в соответствии со статьями </w:t>
      </w:r>
      <w:hyperlink w:history="1" r:id="rIdlyifqpn6ggfhrjqohcd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ldaft9gtimr_ke9r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h8fr1cnui8vjdylpd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12 июля 2024 года № 375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-rz2npa4_qaal3fbb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слово «учреждениях» заменить словом «организациях»;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Предметом деятельности Предприятия является осуществление профессиональной лотерейной деятельности в Кыргызской Республике.»;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«на основании лицензии» заменить словом «профессиональной»;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14,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осуществление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содействие развитию </w:t>
      </w:r>
      <w:r>
        <w:rPr>
          <w:rFonts w:ascii="Arial" w:cs="Arial" w:eastAsia="Arial" w:hAnsi="Arial"/>
          <w:sz w:val="24"/>
          <w:szCs w:val="24"/>
        </w:rPr>
        <w:t xml:space="preserve">физической культуры, </w:t>
      </w:r>
      <w:r>
        <w:rPr>
          <w:rFonts w:ascii="Arial" w:cs="Arial" w:eastAsia="Arial" w:hAnsi="Arial"/>
          <w:sz w:val="24"/>
          <w:szCs w:val="24"/>
        </w:rPr>
        <w:t xml:space="preserve">спорта, образования и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квалификации рабочих кадров, связанных с лотерейной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передовых технологий для организации и осуществления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состояния и перспектив развития лотерейного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лотерейных розыгрышей;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мероприятий и программ развития рынка лотерейных услуг с последующим их выполнением;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финансовой поддержки юридическим и физическим лицам в проведении спортивных и культурных мероприятий, организации досуга детей, помощи пожилым гражданам, лицам с ограниченными возможностями здоровья, малообеспеченным семьям;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сотрудничество с заинтересованными физическими и/или юридическими лицами в рамках реализации своих функций по организации и осуществлению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функции, не предусмотренные настоящим Уставом, не противоречащие законодательству Кыргызской Республики и соответствующие цели Предприятия.»;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седьмом пункта 16 слова </w:t>
      </w:r>
      <w:r>
        <w:rPr>
          <w:rFonts w:ascii="Arial" w:cs="Arial" w:eastAsia="Arial" w:hAnsi="Arial"/>
          <w:sz w:val="24"/>
          <w:szCs w:val="24"/>
        </w:rPr>
        <w:t xml:space="preserve">«срочных трудовых договоров, других» заменить словами «и иных»;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второ</w:t>
      </w:r>
      <w:r>
        <w:rPr>
          <w:rFonts w:ascii="Arial" w:cs="Arial" w:eastAsia="Arial" w:hAnsi="Arial"/>
          <w:sz w:val="24"/>
          <w:szCs w:val="24"/>
        </w:rPr>
        <w:t xml:space="preserve">й после слов «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самоуправления» дополнить словами «, организациях»;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утверждает положения о структурных подразделениях Предприятия, режиме работы, об условиях оплаты труда и премировании работников Предприятия, а также их должностные инструкции;»;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в абзаце четырнадцатом слово «учреждениях» заменить словом «организациях».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sulhzbw-4zwl0rg0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dalil.kg/document/230029559</w:t>
      </w:r>
    </w:hyperlink>
  </w:p>
  <w:p>
    <w:pPr>
      <w:spacing w:after="0" w:before="40"/>
      <w:jc w:val="center"/>
    </w:pPr>
    <w:hyperlink w:history="1" r:id="rIdd-l8w59pdwcdexa9nf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ifqpn6ggfhrjqohcd34" Type="http://schemas.openxmlformats.org/officeDocument/2006/relationships/hyperlink" Target="https://dalil.kg/document/112301#st_13" TargetMode="External"/><Relationship Id="rIdawldaft9gtimr_ke9r4zh" Type="http://schemas.openxmlformats.org/officeDocument/2006/relationships/hyperlink" Target="https://dalil.kg/document/112301#st_17" TargetMode="External"/><Relationship Id="rIdsjh8fr1cnui8vjdylpd0x" Type="http://schemas.openxmlformats.org/officeDocument/2006/relationships/hyperlink" Target="https://dalil.kg/document/230011370" TargetMode="External"/><Relationship Id="rIdz-rz2npa4_qaal3fbbgrb" Type="http://schemas.openxmlformats.org/officeDocument/2006/relationships/hyperlink" Target="https://dalil.kg/document/230011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sulhzbw-4zwl0rg0fen" Type="http://schemas.openxmlformats.org/officeDocument/2006/relationships/hyperlink" Target="https://dalil.kg/document/230029559" TargetMode="External"/><Relationship Id="rIdd-l8w59pdwcdexa9nfc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2026-09-24T21:02:26.084Z</dcterms:created>
  <dcterms:modified xsi:type="dcterms:W3CDTF">2026-09-24T21:02:26.084Z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