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hyperlink w:history="1" r:id="rIdbyr_-gknjg4z3zevccknx">
        <w:r>
          <w:rPr>
            <w:rFonts w:ascii="Arial" w:cs="Arial" w:eastAsia="Arial" w:hAnsi="Arial"/>
            <w:color w:val="1D4ED8"/>
            <w:sz w:val="24"/>
            <w:szCs w:val="24"/>
            <w:u w:val="single"/>
          </w:rPr>
          <w:t xml:space="preserve">к постановлению </w:t>
        </w:r>
      </w:hyperlink>
    </w:p>
    <w:p>
      <w:pPr>
        <w:spacing w:after="120"/>
        <w:jc w:val="right"/>
      </w:pPr>
      <w:r>
        <w:rPr>
          <w:rFonts w:ascii="Arial" w:cs="Arial" w:eastAsia="Arial" w:hAnsi="Arial"/>
          <w:sz w:val="24"/>
          <w:szCs w:val="24"/>
        </w:rPr>
        <w:t xml:space="preserve">от 31 июля 2025 года № 460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механизме раннего оповещения о появлении новых наркотиков, новых психоактивных веществ, предпрекурсоров и заменителей прекурсоров в Кыргызской Республике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механизме раннего оповещения о появлении новых наркотиков, новых психоактивных веществ, предпрекурсоров и заменителей прекурсоров в Кыргызской Республике (далее – Положение) определяет цели, задачи и порядок функционирования механизма раннего оповещения о появлении новых наркотиков, новых психоактивных веществ, предпрекурсоров и заменителей прекурсоров (далее – механизм раннего оповещения). </w:t>
      </w:r>
    </w:p>
    <w:p>
      <w:pPr>
        <w:spacing w:after="120"/>
        <w:ind w:firstLine="709"/>
        <w:jc w:val="both"/>
      </w:pPr>
      <w:r>
        <w:rPr>
          <w:rFonts w:ascii="Arial" w:cs="Arial" w:eastAsia="Arial" w:hAnsi="Arial"/>
          <w:sz w:val="24"/>
          <w:szCs w:val="24"/>
        </w:rPr>
        <w:t xml:space="preserve">2. В настоящем Положении используются следующие понятия и термины: </w:t>
      </w:r>
    </w:p>
    <w:p>
      <w:pPr>
        <w:spacing w:after="120"/>
        <w:ind w:firstLine="709"/>
        <w:jc w:val="both"/>
      </w:pPr>
      <w:r>
        <w:rPr>
          <w:rFonts w:ascii="Arial" w:cs="Arial" w:eastAsia="Arial" w:hAnsi="Arial"/>
          <w:b/>
          <w:bCs/>
          <w:sz w:val="24"/>
          <w:szCs w:val="24"/>
        </w:rPr>
        <w:t xml:space="preserve">координаторы</w:t>
      </w:r>
      <w:r>
        <w:rPr>
          <w:rFonts w:ascii="Arial" w:cs="Arial" w:eastAsia="Arial" w:hAnsi="Arial"/>
          <w:sz w:val="24"/>
          <w:szCs w:val="24"/>
        </w:rPr>
        <w:t xml:space="preserve"> – ответственные должностные лица респондентов; </w:t>
      </w:r>
    </w:p>
    <w:p>
      <w:pPr>
        <w:spacing w:after="120"/>
        <w:ind w:firstLine="709"/>
        <w:jc w:val="both"/>
      </w:pPr>
      <w:r>
        <w:rPr>
          <w:rFonts w:ascii="Arial" w:cs="Arial" w:eastAsia="Arial" w:hAnsi="Arial"/>
          <w:b/>
          <w:bCs/>
          <w:sz w:val="24"/>
          <w:szCs w:val="24"/>
        </w:rPr>
        <w:t xml:space="preserve">комиссия по наркотикам и наркотической зависимости</w:t>
      </w:r>
      <w:r>
        <w:rPr>
          <w:rFonts w:ascii="Arial" w:cs="Arial" w:eastAsia="Arial" w:hAnsi="Arial"/>
          <w:sz w:val="24"/>
          <w:szCs w:val="24"/>
        </w:rPr>
        <w:t xml:space="preserve"> – совещательный орган, призванный осуществлять свою деятельность на общественных началах для анализа рисков и угроз, исходящих от конкретных видов новых психоактивных веществ, предпрекурсоров и заменителей прекурсоров, и внесения обоснованных предложений по их включению в </w:t>
      </w:r>
      <w:r>
        <w:rPr>
          <w:rFonts w:ascii="Arial" w:cs="Arial" w:eastAsia="Arial" w:hAnsi="Arial"/>
          <w:sz w:val="24"/>
          <w:szCs w:val="24"/>
        </w:rPr>
        <w:t xml:space="preserve">Перечень подлежащих контролю в Кыргызской Республике наркотических средств, психотропных веществ, их аналогов и прекурсоров, а также содержащих их живых организмов, </w:t>
      </w:r>
      <w:r>
        <w:rPr>
          <w:rFonts w:ascii="Arial" w:cs="Arial" w:eastAsia="Arial" w:hAnsi="Arial"/>
          <w:sz w:val="24"/>
          <w:szCs w:val="24"/>
        </w:rPr>
        <w:t xml:space="preserve">утвержденный постановлением Кабинета Министров Кыргызской Республики «О наркотических средствах, психотропных веществах, их аналогах и прекурсорах, подлежащих контролю в Кыргызской Республике» от 26 марта 2025 года № 152 (далее – Перечень наркотических средств и психотропных веществ) или в Список сильнодействующих веществ, а также определению их размеров для квалификации деяний по Уголовному кодексу Кыргызской Республики и Кодексу Кыргызской Республики о правонарушениях; </w:t>
      </w:r>
    </w:p>
    <w:p>
      <w:pPr>
        <w:spacing w:after="120"/>
        <w:ind w:firstLine="709"/>
        <w:jc w:val="both"/>
      </w:pPr>
      <w:r>
        <w:rPr>
          <w:rFonts w:ascii="Arial" w:cs="Arial" w:eastAsia="Arial" w:hAnsi="Arial"/>
          <w:b/>
          <w:bCs/>
          <w:sz w:val="24"/>
          <w:szCs w:val="24"/>
        </w:rPr>
        <w:t xml:space="preserve">механизм раннего оповещения о появлении новых наркотиков, новых психоактивных веществ, предпрекурсоров и заменителей прекурсоров в Кыргызской Республике</w:t>
      </w:r>
      <w:r>
        <w:rPr>
          <w:rFonts w:ascii="Arial" w:cs="Arial" w:eastAsia="Arial" w:hAnsi="Arial"/>
          <w:sz w:val="24"/>
          <w:szCs w:val="24"/>
        </w:rPr>
        <w:t xml:space="preserve"> – межведомственная, многопрофильная, постоянно действующая система, включающая заинтересованные государственные органы и органы местного самоуправления (далее – ОМСУ), обеспечивающая мониторинг и оценку наркоситуации, своевременное выявление и обмен информацией о появлении новых наркотиков, новых психоактивных веществ, предпрекурсоров и заменителей прекурсоров, а также осуществляющая оценку связанных с ними рисков и разработку предложений по мерам реагирования и противодействия угрозам здоровью населения; </w:t>
      </w:r>
    </w:p>
    <w:p>
      <w:pPr>
        <w:spacing w:after="120"/>
        <w:ind w:firstLine="709"/>
        <w:jc w:val="both"/>
      </w:pPr>
      <w:r>
        <w:rPr>
          <w:rFonts w:ascii="Arial" w:cs="Arial" w:eastAsia="Arial" w:hAnsi="Arial"/>
          <w:b/>
          <w:bCs/>
          <w:sz w:val="24"/>
          <w:szCs w:val="24"/>
        </w:rPr>
        <w:t xml:space="preserve">новые наркотики</w:t>
      </w:r>
      <w:r>
        <w:rPr>
          <w:rFonts w:ascii="Arial" w:cs="Arial" w:eastAsia="Arial" w:hAnsi="Arial"/>
          <w:sz w:val="24"/>
          <w:szCs w:val="24"/>
        </w:rPr>
        <w:t xml:space="preserve"> – вещества, включенные в списки Единой конвенции Организации Объединенных Наций (далее – ООН) о наркотических средствах 1961 года, Конвенции ООН о психотропных веществах 1971 года и Конвенции ООН о борьбе против незаконного оборота наркотических средств и психотропных веществ 1988 года (далее – международные конвенции) либо список Евразийской экономической комиссии (далее – ЕЭК), но не включенные в соответствии с Законом Кыргызской Республики «О наркотических средствах, психотропных веществах, их аналогах и прекурсорах» в Перечень наркотических средств и психотропных веществ; </w:t>
      </w:r>
    </w:p>
    <w:p>
      <w:pPr>
        <w:spacing w:after="120"/>
        <w:ind w:firstLine="709"/>
        <w:jc w:val="both"/>
      </w:pPr>
      <w:r>
        <w:rPr>
          <w:rFonts w:ascii="Arial" w:cs="Arial" w:eastAsia="Arial" w:hAnsi="Arial"/>
          <w:b/>
          <w:bCs/>
          <w:sz w:val="24"/>
          <w:szCs w:val="24"/>
        </w:rPr>
        <w:t xml:space="preserve">новые психоактивные вещества </w:t>
      </w:r>
      <w:r>
        <w:rPr>
          <w:rFonts w:ascii="Arial" w:cs="Arial" w:eastAsia="Arial" w:hAnsi="Arial"/>
          <w:sz w:val="24"/>
          <w:szCs w:val="24"/>
        </w:rPr>
        <w:t xml:space="preserve">– психоактивные вещества в виде химических субстанций или препаратов естественного происхождения, которые не контролируются в рамках международных конвенций и решений ЕЭК и не включены в Перечень наркотических средств и психотропных веществ, но представляют опасность для здоровья населения; </w:t>
      </w:r>
    </w:p>
    <w:p>
      <w:pPr>
        <w:spacing w:after="120"/>
        <w:ind w:firstLine="709"/>
        <w:jc w:val="both"/>
      </w:pPr>
      <w:r>
        <w:rPr>
          <w:rFonts w:ascii="Arial" w:cs="Arial" w:eastAsia="Arial" w:hAnsi="Arial"/>
          <w:b/>
          <w:bCs/>
          <w:sz w:val="24"/>
          <w:szCs w:val="24"/>
        </w:rPr>
        <w:t xml:space="preserve">психоактивные вещества</w:t>
      </w:r>
      <w:r>
        <w:rPr>
          <w:rFonts w:ascii="Arial" w:cs="Arial" w:eastAsia="Arial" w:hAnsi="Arial"/>
          <w:sz w:val="24"/>
          <w:szCs w:val="24"/>
        </w:rPr>
        <w:t xml:space="preserve"> – химические субстанции или препараты естественного происхождения, которые при приеме или введении в организм человека воздействуют на психические процессы;</w:t>
      </w:r>
    </w:p>
    <w:p>
      <w:pPr>
        <w:spacing w:after="120"/>
        <w:ind w:firstLine="709"/>
        <w:jc w:val="both"/>
      </w:pPr>
      <w:r>
        <w:rPr>
          <w:rFonts w:ascii="Arial" w:cs="Arial" w:eastAsia="Arial" w:hAnsi="Arial"/>
          <w:b/>
          <w:bCs/>
          <w:sz w:val="24"/>
          <w:szCs w:val="24"/>
        </w:rPr>
        <w:t xml:space="preserve">реестр новых наркотиков, новых психоактивных веществ, предпрекурсоров и заменителей прекурсоров </w:t>
      </w:r>
      <w:r>
        <w:rPr>
          <w:rFonts w:ascii="Arial" w:cs="Arial" w:eastAsia="Arial" w:hAnsi="Arial"/>
          <w:sz w:val="24"/>
          <w:szCs w:val="24"/>
        </w:rPr>
        <w:t xml:space="preserve">– база данных, содержащая сведения о появлении новых наркотиков и новых психоактивных веществ, а также предпрекурсоров и заменителей прекурсоров; </w:t>
      </w:r>
    </w:p>
    <w:p>
      <w:pPr>
        <w:spacing w:after="120"/>
        <w:ind w:firstLine="709"/>
        <w:jc w:val="both"/>
      </w:pPr>
      <w:r>
        <w:rPr>
          <w:rFonts w:ascii="Arial" w:cs="Arial" w:eastAsia="Arial" w:hAnsi="Arial"/>
          <w:b/>
          <w:bCs/>
          <w:sz w:val="24"/>
          <w:szCs w:val="24"/>
        </w:rPr>
        <w:t xml:space="preserve">респонденты </w:t>
      </w:r>
      <w:r>
        <w:rPr>
          <w:rFonts w:ascii="Arial" w:cs="Arial" w:eastAsia="Arial" w:hAnsi="Arial"/>
          <w:sz w:val="24"/>
          <w:szCs w:val="24"/>
        </w:rPr>
        <w:t xml:space="preserve">– профильные подразделения министерств, ведомств и ОМСУ, взаимодействующие с республиканским центром мониторинга; </w:t>
      </w:r>
    </w:p>
    <w:p>
      <w:pPr>
        <w:spacing w:after="120"/>
        <w:ind w:firstLine="709"/>
        <w:jc w:val="both"/>
      </w:pPr>
      <w:r>
        <w:rPr>
          <w:rFonts w:ascii="Arial" w:cs="Arial" w:eastAsia="Arial" w:hAnsi="Arial"/>
          <w:b/>
          <w:bCs/>
          <w:sz w:val="24"/>
          <w:szCs w:val="24"/>
        </w:rPr>
        <w:t xml:space="preserve">республиканский центр мониторинга новых наркотиков, новых психоактивных веществ, предпрекурсоров и заменителей прекурсоров </w:t>
      </w:r>
      <w:r>
        <w:rPr>
          <w:rFonts w:ascii="Arial" w:cs="Arial" w:eastAsia="Arial" w:hAnsi="Arial"/>
          <w:sz w:val="24"/>
          <w:szCs w:val="24"/>
        </w:rPr>
        <w:t xml:space="preserve">(далее – республиканский центр мониторинга) является ключевым элементом механизма раннего оповещения. Республиканский центр мониторинга обеспечивает функционирование этого механизма, осуществляет мониторинг ситуации, связанной с оборотом новых наркотиков, новых психоактивных веществ, предпрекурсоров и заменителей прекурсоров, а также координирует деятельность участников механизма раннего оповещения с целью предотвращения дальнейшего распространения указанных веществ на территории Кыргызской Республики; </w:t>
      </w:r>
    </w:p>
    <w:p>
      <w:pPr>
        <w:spacing w:after="120"/>
        <w:ind w:firstLine="709"/>
        <w:jc w:val="both"/>
      </w:pPr>
      <w:r>
        <w:rPr>
          <w:rFonts w:ascii="Arial" w:cs="Arial" w:eastAsia="Arial" w:hAnsi="Arial"/>
          <w:b/>
          <w:bCs/>
          <w:sz w:val="24"/>
          <w:szCs w:val="24"/>
        </w:rPr>
        <w:t xml:space="preserve">сильнодействующие вещества</w:t>
      </w:r>
      <w:r>
        <w:rPr>
          <w:rFonts w:ascii="Arial" w:cs="Arial" w:eastAsia="Arial" w:hAnsi="Arial"/>
          <w:sz w:val="24"/>
          <w:szCs w:val="24"/>
        </w:rPr>
        <w:t xml:space="preserve"> – психоактивные вещества, не включенные в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709"/>
        <w:jc w:val="both"/>
      </w:pPr>
      <w:r>
        <w:rPr>
          <w:rFonts w:ascii="Arial" w:cs="Arial" w:eastAsia="Arial" w:hAnsi="Arial"/>
          <w:sz w:val="24"/>
          <w:szCs w:val="24"/>
        </w:rPr>
        <w:t xml:space="preserve">3. Настоящее Положение определяет принципы работы, организационную структуру механизма раннего оповещения, задачи, функции, права и обязанности участников механизма раннего оповещения, а также порядок их взаимодействия с физическими и юридическими лицами. </w:t>
      </w:r>
    </w:p>
    <w:p>
      <w:pPr>
        <w:spacing w:after="120"/>
        <w:ind w:firstLine="709"/>
        <w:jc w:val="both"/>
      </w:pPr>
      <w:r>
        <w:rPr>
          <w:rFonts w:ascii="Arial" w:cs="Arial" w:eastAsia="Arial" w:hAnsi="Arial"/>
          <w:sz w:val="24"/>
          <w:szCs w:val="24"/>
        </w:rPr>
        <w:t xml:space="preserve">4. Участниками механизма раннего оповещения являются компетентные государственные органы и ОМСУ Кыргызской Республики, международные и некоммерческие организации, средства массовой информации (далее – СМИ), иные юридические и физические лица. </w:t>
      </w:r>
    </w:p>
    <w:p>
      <w:pPr>
        <w:spacing w:after="120"/>
        <w:ind w:firstLine="709"/>
        <w:jc w:val="both"/>
      </w:pPr>
      <w:r>
        <w:rPr>
          <w:rFonts w:ascii="Arial" w:cs="Arial" w:eastAsia="Arial" w:hAnsi="Arial"/>
          <w:sz w:val="24"/>
          <w:szCs w:val="24"/>
        </w:rPr>
        <w:t xml:space="preserve">5. Участники механизма раннего оповещения в своей деятельности руководствуются Конституцией и законами Кыргызской Республики, Указами Президента Кыргызской Республики, постановлениями Кабинета Министров Кыргызской Республики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Цели и задачи механизма раннего оповещения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Целями механизма раннего оповещения являются: </w:t>
      </w:r>
    </w:p>
    <w:p>
      <w:pPr>
        <w:spacing w:after="120"/>
        <w:ind w:firstLine="709"/>
        <w:jc w:val="both"/>
      </w:pPr>
      <w:r>
        <w:rPr>
          <w:rFonts w:ascii="Arial" w:cs="Arial" w:eastAsia="Arial" w:hAnsi="Arial"/>
          <w:sz w:val="24"/>
          <w:szCs w:val="24"/>
        </w:rPr>
        <w:t xml:space="preserve">– обеспечение безопасности и здоровья населения через своевременное обнаружение и реагирование на угрозы, связанные с распространением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минимизация рисков и снижение уровня вреда от злоупотребления новыми наркотиками и новыми психоактивными веществами среди населения; </w:t>
      </w:r>
    </w:p>
    <w:p>
      <w:pPr>
        <w:spacing w:after="120"/>
        <w:ind w:firstLine="709"/>
        <w:jc w:val="both"/>
      </w:pPr>
      <w:r>
        <w:rPr>
          <w:rFonts w:ascii="Arial" w:cs="Arial" w:eastAsia="Arial" w:hAnsi="Arial"/>
          <w:sz w:val="24"/>
          <w:szCs w:val="24"/>
        </w:rPr>
        <w:t xml:space="preserve">– развитие эффективной системы мониторинга появления новых наркотиков, новых психоактивных веществ, предпрекурсоров и заменителей прекурсоров на территории Кыргызской Республики; </w:t>
      </w:r>
    </w:p>
    <w:p>
      <w:pPr>
        <w:spacing w:after="120"/>
        <w:ind w:firstLine="709"/>
        <w:jc w:val="both"/>
      </w:pPr>
      <w:r>
        <w:rPr>
          <w:rFonts w:ascii="Arial" w:cs="Arial" w:eastAsia="Arial" w:hAnsi="Arial"/>
          <w:sz w:val="24"/>
          <w:szCs w:val="24"/>
        </w:rPr>
        <w:t xml:space="preserve">– укрепление сотрудничества между заинтересованными министерствами, ведомствами и ОМСУ Кыргызской Республики, а также международными и некоммерческими организациями в сфере контроля за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выявление причин и условий, способствующих появлению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обеспечение защиты прав и законных интересов всех участников механизма раннего оповещения, включая компетентные государственные органы, ОМСУ, международные и некоммерческие организации, СМИ, а также иные юридические и физические лица в установленном порядке при осуществлении мониторинга, сбора, передачи и обработки информации в рамках функционирования механизма раннего оповещения. </w:t>
      </w:r>
    </w:p>
    <w:p>
      <w:pPr>
        <w:spacing w:after="120"/>
        <w:ind w:firstLine="709"/>
        <w:jc w:val="both"/>
      </w:pPr>
      <w:r>
        <w:rPr>
          <w:rFonts w:ascii="Arial" w:cs="Arial" w:eastAsia="Arial" w:hAnsi="Arial"/>
          <w:sz w:val="24"/>
          <w:szCs w:val="24"/>
        </w:rPr>
        <w:t xml:space="preserve">7. Задачами механизма раннего оповещения являются: </w:t>
      </w:r>
    </w:p>
    <w:p>
      <w:pPr>
        <w:spacing w:after="120"/>
        <w:ind w:firstLine="709"/>
        <w:jc w:val="both"/>
      </w:pPr>
      <w:r>
        <w:rPr>
          <w:rFonts w:ascii="Arial" w:cs="Arial" w:eastAsia="Arial" w:hAnsi="Arial"/>
          <w:sz w:val="24"/>
          <w:szCs w:val="24"/>
        </w:rPr>
        <w:t xml:space="preserve">– мониторинг и оценка ситуации, связанной с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обеспечение своевременного информирования соответствующих государственных органов, ОМСУ и населения Кыргызской Республики, а также международных и некоммерческих организаций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координация деятельности участников механизма раннего оповещения в целях предотвращения дальнейшего распространения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проведение исследований в области анализа рисков, связанных с оборотом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расширение международного взаимодействия, обмена информацией и опытом в сфере мониторинга оборота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повышение осведомленности специалистов и населения о рисках, связанных со злоупотреблением новыми наркотиками и новыми психоактивными веществами; </w:t>
      </w:r>
    </w:p>
    <w:p>
      <w:pPr>
        <w:spacing w:after="120"/>
        <w:ind w:firstLine="709"/>
        <w:jc w:val="both"/>
      </w:pPr>
      <w:r>
        <w:rPr>
          <w:rFonts w:ascii="Arial" w:cs="Arial" w:eastAsia="Arial" w:hAnsi="Arial"/>
          <w:sz w:val="24"/>
          <w:szCs w:val="24"/>
        </w:rPr>
        <w:t xml:space="preserve">– разработка предложений по сокращению спроса и предложения на новые наркотики и новые психоактивные вещества, в том числе через профилактические и образовательные программы; </w:t>
      </w:r>
    </w:p>
    <w:p>
      <w:pPr>
        <w:spacing w:after="120"/>
        <w:ind w:firstLine="709"/>
        <w:jc w:val="both"/>
      </w:pPr>
      <w:r>
        <w:rPr>
          <w:rFonts w:ascii="Arial" w:cs="Arial" w:eastAsia="Arial" w:hAnsi="Arial"/>
          <w:sz w:val="24"/>
          <w:szCs w:val="24"/>
        </w:rPr>
        <w:t xml:space="preserve">– выработка предложений по включению новых наркотиков, новых психоактивных веществ, предпрекурсоров и заменителей прекурсоров в Перечень наркотических средств и психотропных веществ, а также Список сильнодействующих веществ; </w:t>
      </w:r>
    </w:p>
    <w:p>
      <w:pPr>
        <w:spacing w:after="120"/>
        <w:ind w:firstLine="709"/>
        <w:jc w:val="both"/>
      </w:pPr>
      <w:r>
        <w:rPr>
          <w:rFonts w:ascii="Arial" w:cs="Arial" w:eastAsia="Arial" w:hAnsi="Arial"/>
          <w:sz w:val="24"/>
          <w:szCs w:val="24"/>
        </w:rPr>
        <w:t xml:space="preserve">– разработка предложений по </w:t>
      </w:r>
      <w:r>
        <w:rPr>
          <w:rFonts w:ascii="Arial" w:cs="Arial" w:eastAsia="Arial" w:hAnsi="Arial"/>
          <w:sz w:val="24"/>
          <w:szCs w:val="24"/>
        </w:rPr>
        <w:t xml:space="preserve">размерам наркотических средств, психотропных веществ, их аналогов и прекурсоров и содержащих их живых организмов</w:t>
      </w:r>
      <w:r>
        <w:rPr>
          <w:rFonts w:ascii="Arial" w:cs="Arial" w:eastAsia="Arial" w:hAnsi="Arial"/>
          <w:sz w:val="24"/>
          <w:szCs w:val="24"/>
        </w:rPr>
        <w:t xml:space="preserve">, а также сильнодействующих веществ для квалификации деяний по Уголовному кодексу Кыргызской Республики и Кодексу Кыргызской Республики о правонарушениях.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Структура механизма раннего оповещения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Механизм раннего оповещения функционально состоит из: </w:t>
      </w:r>
    </w:p>
    <w:p>
      <w:pPr>
        <w:spacing w:after="120"/>
        <w:ind w:firstLine="709"/>
        <w:jc w:val="both"/>
      </w:pPr>
      <w:r>
        <w:rPr>
          <w:rFonts w:ascii="Arial" w:cs="Arial" w:eastAsia="Arial" w:hAnsi="Arial"/>
          <w:sz w:val="24"/>
          <w:szCs w:val="24"/>
        </w:rPr>
        <w:t xml:space="preserve">– мониторинга оборота </w:t>
      </w:r>
      <w:r>
        <w:rPr>
          <w:rFonts w:ascii="Arial" w:cs="Arial" w:eastAsia="Arial" w:hAnsi="Arial"/>
          <w:sz w:val="24"/>
          <w:szCs w:val="24"/>
        </w:rPr>
        <w:t xml:space="preserve">новых наркотиков, новых психоактивных веществ</w:t>
      </w:r>
      <w:r>
        <w:rPr>
          <w:rFonts w:ascii="Arial" w:cs="Arial" w:eastAsia="Arial" w:hAnsi="Arial"/>
          <w:sz w:val="24"/>
          <w:szCs w:val="24"/>
        </w:rPr>
        <w:t xml:space="preserve">, предпрекурсоров и заменителей прекурсоров; </w:t>
      </w:r>
    </w:p>
    <w:p>
      <w:pPr>
        <w:spacing w:after="120"/>
        <w:ind w:firstLine="709"/>
        <w:jc w:val="both"/>
      </w:pPr>
      <w:r>
        <w:rPr>
          <w:rFonts w:ascii="Arial" w:cs="Arial" w:eastAsia="Arial" w:hAnsi="Arial"/>
          <w:sz w:val="24"/>
          <w:szCs w:val="24"/>
        </w:rPr>
        <w:t xml:space="preserve">– оценки новых наркотиков, новых психоактивных веществ, предпрекурсоров и заменителей прекурсоров на предмет включения в Перечень наркотических средств и психотропных веществ, а также Список сильнодействующих веществ. </w:t>
      </w:r>
    </w:p>
    <w:p>
      <w:pPr>
        <w:spacing w:after="120"/>
        <w:ind w:firstLine="709"/>
        <w:jc w:val="both"/>
      </w:pPr>
      <w:r>
        <w:rPr>
          <w:rFonts w:ascii="Arial" w:cs="Arial" w:eastAsia="Arial" w:hAnsi="Arial"/>
          <w:sz w:val="24"/>
          <w:szCs w:val="24"/>
        </w:rPr>
        <w:t xml:space="preserve">9. Механизм раннего оповещения институционально состоит из: </w:t>
      </w:r>
    </w:p>
    <w:p>
      <w:pPr>
        <w:spacing w:after="120"/>
        <w:ind w:firstLine="709"/>
        <w:jc w:val="both"/>
      </w:pPr>
      <w:r>
        <w:rPr>
          <w:rFonts w:ascii="Arial" w:cs="Arial" w:eastAsia="Arial" w:hAnsi="Arial"/>
          <w:sz w:val="24"/>
          <w:szCs w:val="24"/>
        </w:rPr>
        <w:t xml:space="preserve">– республиканского центра мониторинга; </w:t>
      </w:r>
    </w:p>
    <w:p>
      <w:pPr>
        <w:spacing w:after="120"/>
        <w:ind w:firstLine="709"/>
        <w:jc w:val="both"/>
      </w:pPr>
      <w:r>
        <w:rPr>
          <w:rFonts w:ascii="Arial" w:cs="Arial" w:eastAsia="Arial" w:hAnsi="Arial"/>
          <w:sz w:val="24"/>
          <w:szCs w:val="24"/>
        </w:rPr>
        <w:t xml:space="preserve">– респондентов, взаимодействующих с республиканским центром мониторинга, согласно приложению 1 к настоящему Положению; </w:t>
      </w:r>
    </w:p>
    <w:p>
      <w:pPr>
        <w:spacing w:after="120"/>
        <w:ind w:firstLine="709"/>
        <w:jc w:val="both"/>
      </w:pPr>
      <w:r>
        <w:rPr>
          <w:rFonts w:ascii="Arial" w:cs="Arial" w:eastAsia="Arial" w:hAnsi="Arial"/>
          <w:sz w:val="24"/>
          <w:szCs w:val="24"/>
        </w:rPr>
        <w:t xml:space="preserve">– комиссии по наркотикам и наркотической зависимости (далее – Комиссия).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Система мониторинга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Роль республиканского центра мониторинга исполняет подразделение уполномоченного государственного органа в сфере борьбы с незаконным оборотом наркотиков. </w:t>
      </w:r>
    </w:p>
    <w:p>
      <w:pPr>
        <w:spacing w:after="120"/>
        <w:ind w:firstLine="709"/>
        <w:jc w:val="both"/>
      </w:pPr>
      <w:r>
        <w:rPr>
          <w:rFonts w:ascii="Arial" w:cs="Arial" w:eastAsia="Arial" w:hAnsi="Arial"/>
          <w:sz w:val="24"/>
          <w:szCs w:val="24"/>
        </w:rPr>
        <w:t xml:space="preserve">Функции республиканского центра мониторинга: </w:t>
      </w:r>
    </w:p>
    <w:p>
      <w:pPr>
        <w:spacing w:after="120"/>
        <w:ind w:firstLine="709"/>
        <w:jc w:val="both"/>
      </w:pPr>
      <w:r>
        <w:rPr>
          <w:rFonts w:ascii="Arial" w:cs="Arial" w:eastAsia="Arial" w:hAnsi="Arial"/>
          <w:sz w:val="24"/>
          <w:szCs w:val="24"/>
        </w:rPr>
        <w:t xml:space="preserve">– координация деятельности респондентов;</w:t>
      </w:r>
    </w:p>
    <w:p>
      <w:pPr>
        <w:spacing w:after="120"/>
        <w:ind w:firstLine="709"/>
        <w:jc w:val="both"/>
      </w:pPr>
      <w:r>
        <w:rPr>
          <w:rFonts w:ascii="Arial" w:cs="Arial" w:eastAsia="Arial" w:hAnsi="Arial"/>
          <w:sz w:val="24"/>
          <w:szCs w:val="24"/>
        </w:rPr>
        <w:t xml:space="preserve">– разработка инструкций в сфере отчетности;</w:t>
      </w:r>
    </w:p>
    <w:p>
      <w:pPr>
        <w:spacing w:after="120"/>
        <w:ind w:firstLine="709"/>
        <w:jc w:val="both"/>
      </w:pPr>
      <w:r>
        <w:rPr>
          <w:rFonts w:ascii="Arial" w:cs="Arial" w:eastAsia="Arial" w:hAnsi="Arial"/>
          <w:sz w:val="24"/>
          <w:szCs w:val="24"/>
        </w:rPr>
        <w:t xml:space="preserve">– организация сбора, обобщения и анализа поступающей от респондентов информации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создание и ведение реестра новых наркотиков, новых психоактивных веществ, предпрекурсоров и заменителей прекурсоров в соответствии с законодательством об электронном управлении; </w:t>
      </w:r>
    </w:p>
    <w:p>
      <w:pPr>
        <w:spacing w:after="120"/>
        <w:ind w:firstLine="709"/>
        <w:jc w:val="both"/>
      </w:pPr>
      <w:r>
        <w:rPr>
          <w:rFonts w:ascii="Arial" w:cs="Arial" w:eastAsia="Arial" w:hAnsi="Arial"/>
          <w:sz w:val="24"/>
          <w:szCs w:val="24"/>
        </w:rPr>
        <w:t xml:space="preserve">– создание и ведение веб-сайта механизма раннего оповещения; </w:t>
      </w:r>
    </w:p>
    <w:p>
      <w:pPr>
        <w:spacing w:after="120"/>
        <w:ind w:firstLine="709"/>
        <w:jc w:val="both"/>
      </w:pPr>
      <w:r>
        <w:rPr>
          <w:rFonts w:ascii="Arial" w:cs="Arial" w:eastAsia="Arial" w:hAnsi="Arial"/>
          <w:sz w:val="24"/>
          <w:szCs w:val="24"/>
        </w:rPr>
        <w:t xml:space="preserve">– информирование заинтересованных государственных органов, местной государственной администрации или ОМСУ и Комиссии о появлении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организация и проведение обучающих программ и семинаров;</w:t>
      </w:r>
    </w:p>
    <w:p>
      <w:pPr>
        <w:spacing w:after="120"/>
        <w:ind w:firstLine="709"/>
        <w:jc w:val="both"/>
      </w:pPr>
      <w:r>
        <w:rPr>
          <w:rFonts w:ascii="Arial" w:cs="Arial" w:eastAsia="Arial" w:hAnsi="Arial"/>
          <w:sz w:val="24"/>
          <w:szCs w:val="24"/>
        </w:rPr>
        <w:t xml:space="preserve">– оценка потенциальных рисков оборота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издание и публикация отчетов о появлении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взаимодействие в установленном порядке с международными организациями и специализированными учреждениями иностранных государств для обмена информацией, опытом и лучшими практиками в сфере мониторинга и оценки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оценка эффективности функционирования механизма раннего оповещения осуществляется на основании утвержденных Комиссией индикаторов результативности с целью выявления проблем, анализа достигнутых результатов, а также прозрачности и подотчетности участников механизма раннего оповещения; </w:t>
      </w:r>
    </w:p>
    <w:p>
      <w:pPr>
        <w:spacing w:after="120"/>
        <w:ind w:firstLine="709"/>
        <w:jc w:val="both"/>
      </w:pPr>
      <w:r>
        <w:rPr>
          <w:rFonts w:ascii="Arial" w:cs="Arial" w:eastAsia="Arial" w:hAnsi="Arial"/>
          <w:sz w:val="24"/>
          <w:szCs w:val="24"/>
        </w:rPr>
        <w:t xml:space="preserve">– выполнение иных функций, предусмотренных законодательством Кыргызской Республики. </w:t>
      </w:r>
    </w:p>
    <w:p>
      <w:pPr>
        <w:spacing w:after="120"/>
        <w:ind w:firstLine="709"/>
        <w:jc w:val="both"/>
      </w:pPr>
      <w:r>
        <w:rPr>
          <w:rFonts w:ascii="Arial" w:cs="Arial" w:eastAsia="Arial" w:hAnsi="Arial"/>
          <w:sz w:val="24"/>
          <w:szCs w:val="24"/>
        </w:rPr>
        <w:t xml:space="preserve">Права республиканского центра мониторинга: </w:t>
      </w:r>
    </w:p>
    <w:p>
      <w:pPr>
        <w:spacing w:after="120"/>
        <w:ind w:firstLine="709"/>
        <w:jc w:val="both"/>
      </w:pPr>
      <w:r>
        <w:rPr>
          <w:rFonts w:ascii="Arial" w:cs="Arial" w:eastAsia="Arial" w:hAnsi="Arial"/>
          <w:sz w:val="24"/>
          <w:szCs w:val="24"/>
        </w:rPr>
        <w:t xml:space="preserve">– взаимодействие с заинтересованными государственными органами, ОМСУ и иными организациями, в том числе запрос и получение от них в установленном порядке необходимых материалов и информации по вопросам, относящимся к его компетенции, приглашение должностных лиц указанных органов и организаций (по согласованию с их руководителями) для участия в работе республиканского центра мониторинга; </w:t>
      </w:r>
    </w:p>
    <w:p>
      <w:pPr>
        <w:spacing w:after="120"/>
        <w:ind w:firstLine="709"/>
        <w:jc w:val="both"/>
      </w:pPr>
      <w:r>
        <w:rPr>
          <w:rFonts w:ascii="Arial" w:cs="Arial" w:eastAsia="Arial" w:hAnsi="Arial"/>
          <w:sz w:val="24"/>
          <w:szCs w:val="24"/>
        </w:rPr>
        <w:t xml:space="preserve">– утверждение инструкции в сфере отчетности;</w:t>
      </w:r>
    </w:p>
    <w:p>
      <w:pPr>
        <w:spacing w:after="120"/>
        <w:ind w:firstLine="709"/>
        <w:jc w:val="both"/>
      </w:pPr>
      <w:r>
        <w:rPr>
          <w:rFonts w:ascii="Arial" w:cs="Arial" w:eastAsia="Arial" w:hAnsi="Arial"/>
          <w:sz w:val="24"/>
          <w:szCs w:val="24"/>
        </w:rPr>
        <w:t xml:space="preserve">– внесение респондентам рекомендаций и замечаний относительно исполнения ими функций в рамках механизма раннего оповещения;</w:t>
      </w:r>
    </w:p>
    <w:p>
      <w:pPr>
        <w:spacing w:after="120"/>
        <w:ind w:firstLine="709"/>
        <w:jc w:val="both"/>
      </w:pPr>
      <w:r>
        <w:rPr>
          <w:rFonts w:ascii="Arial" w:cs="Arial" w:eastAsia="Arial" w:hAnsi="Arial"/>
          <w:sz w:val="24"/>
          <w:szCs w:val="24"/>
        </w:rPr>
        <w:t xml:space="preserve">– привлечение респондентов и координаторов (по согласованию с их руководителями) к участию в обучающих и иных мероприятиях;</w:t>
      </w:r>
    </w:p>
    <w:p>
      <w:pPr>
        <w:spacing w:after="120"/>
        <w:ind w:firstLine="709"/>
        <w:jc w:val="both"/>
      </w:pPr>
      <w:r>
        <w:rPr>
          <w:rFonts w:ascii="Arial" w:cs="Arial" w:eastAsia="Arial" w:hAnsi="Arial"/>
          <w:sz w:val="24"/>
          <w:szCs w:val="24"/>
        </w:rPr>
        <w:t xml:space="preserve">– привлечение не запрещенных законодательством Кыргызской Республики внебюджетных источников финансирования, получение и использование технической, гуманитарной и финансовой помощи от международных, неправительственных и иных организаций в целях выполнения своих задач и функций. </w:t>
      </w:r>
    </w:p>
    <w:p>
      <w:pPr>
        <w:spacing w:after="120"/>
        <w:ind w:firstLine="709"/>
        <w:jc w:val="both"/>
      </w:pPr>
      <w:r>
        <w:rPr>
          <w:rFonts w:ascii="Arial" w:cs="Arial" w:eastAsia="Arial" w:hAnsi="Arial"/>
          <w:sz w:val="24"/>
          <w:szCs w:val="24"/>
        </w:rPr>
        <w:t xml:space="preserve">Функции респондентов, взаимодействующих с республиканским центром мониторинга: </w:t>
      </w:r>
    </w:p>
    <w:p>
      <w:pPr>
        <w:spacing w:after="120"/>
        <w:ind w:firstLine="709"/>
        <w:jc w:val="both"/>
      </w:pPr>
      <w:r>
        <w:rPr>
          <w:rFonts w:ascii="Arial" w:cs="Arial" w:eastAsia="Arial" w:hAnsi="Arial"/>
          <w:sz w:val="24"/>
          <w:szCs w:val="24"/>
        </w:rPr>
        <w:t xml:space="preserve">– сбор, обобщение и обработка первичной информации о появлении в обороте новых наркотиков, новых психоактивных веществ, предпрекурсоров и заменителей прекурсоров (включая проведение исследований); </w:t>
      </w:r>
    </w:p>
    <w:p>
      <w:pPr>
        <w:spacing w:after="120"/>
        <w:ind w:firstLine="709"/>
        <w:jc w:val="both"/>
      </w:pPr>
      <w:r>
        <w:rPr>
          <w:rFonts w:ascii="Arial" w:cs="Arial" w:eastAsia="Arial" w:hAnsi="Arial"/>
          <w:sz w:val="24"/>
          <w:szCs w:val="24"/>
        </w:rPr>
        <w:t xml:space="preserve">– информирование в установленном порядке республиканского центра мониторинга о появлении в обороте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участие в проведении обучающих и иных мероприятий, организуемых республиканским центром мониторинга. </w:t>
      </w:r>
    </w:p>
    <w:p>
      <w:pPr>
        <w:spacing w:after="120"/>
        <w:ind w:firstLine="709"/>
        <w:jc w:val="both"/>
      </w:pPr>
      <w:r>
        <w:rPr>
          <w:rFonts w:ascii="Arial" w:cs="Arial" w:eastAsia="Arial" w:hAnsi="Arial"/>
          <w:sz w:val="24"/>
          <w:szCs w:val="24"/>
        </w:rPr>
        <w:t xml:space="preserve">11. Руководство профильных подразделений министерств, ведомств и ОМСУ – респондентов, взаимодействующих с республиканским центром мониторинга, назначает координаторов из числа ответственных должностных лиц. </w:t>
      </w:r>
    </w:p>
    <w:p>
      <w:pPr>
        <w:spacing w:after="120"/>
        <w:ind w:firstLine="709"/>
        <w:jc w:val="both"/>
      </w:pPr>
      <w:r>
        <w:rPr>
          <w:rFonts w:ascii="Arial" w:cs="Arial" w:eastAsia="Arial" w:hAnsi="Arial"/>
          <w:sz w:val="24"/>
          <w:szCs w:val="24"/>
        </w:rPr>
        <w:t xml:space="preserve">Функции координатора: </w:t>
      </w:r>
    </w:p>
    <w:p>
      <w:pPr>
        <w:spacing w:after="120"/>
        <w:ind w:firstLine="709"/>
        <w:jc w:val="both"/>
      </w:pPr>
      <w:r>
        <w:rPr>
          <w:rFonts w:ascii="Arial" w:cs="Arial" w:eastAsia="Arial" w:hAnsi="Arial"/>
          <w:sz w:val="24"/>
          <w:szCs w:val="24"/>
        </w:rPr>
        <w:t xml:space="preserve">– сбор первичной информации о появлении в обороте новых наркотиков, новых психоактивных веществ, предпрекурсоров и заменителей прекурсоров с последующей передачей этой информации в центр для анализа и принятия решений;</w:t>
      </w:r>
    </w:p>
    <w:p>
      <w:pPr>
        <w:spacing w:after="120"/>
        <w:ind w:firstLine="709"/>
        <w:jc w:val="both"/>
      </w:pPr>
      <w:r>
        <w:rPr>
          <w:rFonts w:ascii="Arial" w:cs="Arial" w:eastAsia="Arial" w:hAnsi="Arial"/>
          <w:sz w:val="24"/>
          <w:szCs w:val="24"/>
        </w:rPr>
        <w:t xml:space="preserve">– анализ первичной информации о появлении в обороте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информирование в установленном порядке республиканского центра мониторинга о появлении в обороте новых наркотиков, новых психоактивных веществ, предпрекурсоров и заменителей прекурсоров;</w:t>
      </w:r>
    </w:p>
    <w:p>
      <w:pPr>
        <w:spacing w:after="120"/>
        <w:ind w:firstLine="709"/>
        <w:jc w:val="both"/>
      </w:pPr>
      <w:r>
        <w:rPr>
          <w:rFonts w:ascii="Arial" w:cs="Arial" w:eastAsia="Arial" w:hAnsi="Arial"/>
          <w:sz w:val="24"/>
          <w:szCs w:val="24"/>
        </w:rPr>
        <w:t xml:space="preserve">– взаимодействие с республиканским центром мониторинга в части совершенствования форм отчетов;</w:t>
      </w:r>
    </w:p>
    <w:p>
      <w:pPr>
        <w:spacing w:after="120"/>
        <w:ind w:firstLine="709"/>
        <w:jc w:val="both"/>
      </w:pPr>
      <w:r>
        <w:rPr>
          <w:rFonts w:ascii="Arial" w:cs="Arial" w:eastAsia="Arial" w:hAnsi="Arial"/>
          <w:sz w:val="24"/>
          <w:szCs w:val="24"/>
        </w:rPr>
        <w:t xml:space="preserve">– регулярное прохождение обучения по вопросам идентификации и реагирования на появление в обороте новых наркотиков, новых психоактивных веществ, предпрекурсоров и заменителей прекурсоров, организуемого республиканским центром мониторинга. </w:t>
      </w:r>
    </w:p>
    <w:p>
      <w:pPr>
        <w:spacing w:after="120"/>
        <w:ind w:firstLine="709"/>
        <w:jc w:val="both"/>
      </w:pPr>
      <w:r>
        <w:rPr>
          <w:rFonts w:ascii="Arial" w:cs="Arial" w:eastAsia="Arial" w:hAnsi="Arial"/>
          <w:sz w:val="24"/>
          <w:szCs w:val="24"/>
        </w:rPr>
        <w:t xml:space="preserve">Координатор несет ответственность за своевременность и достоверность передаваемой в республиканский центр мониторинга информации и предоставляет ежегодный отчет о выполнении его рекомендаций. </w:t>
      </w:r>
    </w:p>
    <w:p>
      <w:pPr>
        <w:spacing w:after="120"/>
        <w:ind w:firstLine="709"/>
        <w:jc w:val="both"/>
      </w:pPr>
      <w:r>
        <w:rPr>
          <w:rFonts w:ascii="Arial" w:cs="Arial" w:eastAsia="Arial" w:hAnsi="Arial"/>
          <w:sz w:val="24"/>
          <w:szCs w:val="24"/>
        </w:rPr>
        <w:t xml:space="preserve">Координатор вправе вносить предложения по возможным мерам реагирования на угрозы, связанные с оборотом новых наркотиков, новых психоактивных веществ, предпрекурсоров и заменителей прекурсоров.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Система оценки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Комиссия является совещательным органом, призванным осуществлять свою деятельность на общественных началах для анализа рисков и угроз, исходящих от конкретных видов новых наркотиков, новых психоактивных веществ, предпрекурсоров и заменителей прекурсоров и внесения обоснованных предложений по их включению в Перечень наркотических средств и психотропных веществ, а также в Список сильнодействующих веществ. </w:t>
      </w:r>
    </w:p>
    <w:p>
      <w:pPr>
        <w:spacing w:after="120"/>
        <w:ind w:firstLine="709"/>
        <w:jc w:val="both"/>
      </w:pPr>
      <w:r>
        <w:rPr>
          <w:rFonts w:ascii="Arial" w:cs="Arial" w:eastAsia="Arial" w:hAnsi="Arial"/>
          <w:sz w:val="24"/>
          <w:szCs w:val="24"/>
        </w:rPr>
        <w:t xml:space="preserve">Функции Комиссии: </w:t>
      </w:r>
    </w:p>
    <w:p>
      <w:pPr>
        <w:spacing w:after="120"/>
        <w:ind w:firstLine="709"/>
        <w:jc w:val="both"/>
      </w:pPr>
      <w:r>
        <w:rPr>
          <w:rFonts w:ascii="Arial" w:cs="Arial" w:eastAsia="Arial" w:hAnsi="Arial"/>
          <w:sz w:val="24"/>
          <w:szCs w:val="24"/>
        </w:rPr>
        <w:t xml:space="preserve">– анализ получаемой от республиканского центра мониторинга информации о появлении в обороте конкретных видов новых наркотиков, новых психоактивных веществ, предпрекурсоров и заменителей прекурсоров; </w:t>
      </w:r>
    </w:p>
    <w:p>
      <w:pPr>
        <w:spacing w:after="120"/>
        <w:ind w:firstLine="709"/>
        <w:jc w:val="both"/>
      </w:pPr>
      <w:r>
        <w:rPr>
          <w:rFonts w:ascii="Arial" w:cs="Arial" w:eastAsia="Arial" w:hAnsi="Arial"/>
          <w:sz w:val="24"/>
          <w:szCs w:val="24"/>
        </w:rPr>
        <w:t xml:space="preserve">– внесение в уполномоченный государственный орган в сфере внутренних дел обоснованных предложений по включению новых наркотиков, новых психоактивных веществ, предпрекурсоров и заменителей прекурсоров в Перечень наркотических средств и психотропных веществ, а также в Список сильнодействующих веществ, разработка проекта их размеров, имеющих значение для квалификации деяний по Уголовному кодексу Кыргызской Республики и Кодексу Кыргызской Республики о правонарушениях. </w:t>
      </w:r>
    </w:p>
    <w:p>
      <w:pPr>
        <w:spacing w:after="120"/>
        <w:ind w:firstLine="709"/>
        <w:jc w:val="both"/>
      </w:pPr>
      <w:r>
        <w:rPr>
          <w:rFonts w:ascii="Arial" w:cs="Arial" w:eastAsia="Arial" w:hAnsi="Arial"/>
          <w:sz w:val="24"/>
          <w:szCs w:val="24"/>
        </w:rPr>
        <w:t xml:space="preserve">Права Комиссии: </w:t>
      </w:r>
    </w:p>
    <w:p>
      <w:pPr>
        <w:spacing w:after="120"/>
        <w:ind w:firstLine="709"/>
        <w:jc w:val="both"/>
      </w:pPr>
      <w:r>
        <w:rPr>
          <w:rFonts w:ascii="Arial" w:cs="Arial" w:eastAsia="Arial" w:hAnsi="Arial"/>
          <w:sz w:val="24"/>
          <w:szCs w:val="24"/>
        </w:rPr>
        <w:t xml:space="preserve">– утверждение регламента работы Комиссии;</w:t>
      </w:r>
    </w:p>
    <w:p>
      <w:pPr>
        <w:spacing w:after="120"/>
        <w:ind w:firstLine="709"/>
        <w:jc w:val="both"/>
      </w:pPr>
      <w:r>
        <w:rPr>
          <w:rFonts w:ascii="Arial" w:cs="Arial" w:eastAsia="Arial" w:hAnsi="Arial"/>
          <w:sz w:val="24"/>
          <w:szCs w:val="24"/>
        </w:rPr>
        <w:t xml:space="preserve">– избрание председателя Комиссии и утверждение ответственного секретаря Комиссии; </w:t>
      </w:r>
    </w:p>
    <w:p>
      <w:pPr>
        <w:spacing w:after="120"/>
        <w:ind w:firstLine="709"/>
        <w:jc w:val="both"/>
      </w:pPr>
      <w:r>
        <w:rPr>
          <w:rFonts w:ascii="Arial" w:cs="Arial" w:eastAsia="Arial" w:hAnsi="Arial"/>
          <w:sz w:val="24"/>
          <w:szCs w:val="24"/>
        </w:rPr>
        <w:t xml:space="preserve">– создание при необходимости на временной или постоянной основе технических секторов для решения отдельных вопросов, находящихся в компетенции Комиссии; </w:t>
      </w:r>
    </w:p>
    <w:p>
      <w:pPr>
        <w:spacing w:after="120"/>
        <w:ind w:firstLine="709"/>
        <w:jc w:val="both"/>
      </w:pPr>
      <w:r>
        <w:rPr>
          <w:rFonts w:ascii="Arial" w:cs="Arial" w:eastAsia="Arial" w:hAnsi="Arial"/>
          <w:sz w:val="24"/>
          <w:szCs w:val="24"/>
        </w:rPr>
        <w:t xml:space="preserve">– утверждение методики оценки новых наркотиков, новых психоактивных веществ, предпрекурсоров и заменителей прекурсоров в целях включения в Перечень наркотических средств и психотропных веществ, а также в Список сильнодействующих веществ; </w:t>
      </w:r>
    </w:p>
    <w:p>
      <w:pPr>
        <w:spacing w:after="120"/>
        <w:ind w:firstLine="709"/>
        <w:jc w:val="both"/>
      </w:pPr>
      <w:r>
        <w:rPr>
          <w:rFonts w:ascii="Arial" w:cs="Arial" w:eastAsia="Arial" w:hAnsi="Arial"/>
          <w:sz w:val="24"/>
          <w:szCs w:val="24"/>
        </w:rPr>
        <w:t xml:space="preserve">– внесение в установленном законом порядке предложений по вопросам, требующим принятия решения Кабинетом Министров Кыргызской Республики;</w:t>
      </w:r>
    </w:p>
    <w:p>
      <w:pPr>
        <w:spacing w:after="120"/>
        <w:ind w:firstLine="709"/>
        <w:jc w:val="both"/>
      </w:pPr>
      <w:r>
        <w:rPr>
          <w:rFonts w:ascii="Arial" w:cs="Arial" w:eastAsia="Arial" w:hAnsi="Arial"/>
          <w:sz w:val="24"/>
          <w:szCs w:val="24"/>
        </w:rPr>
        <w:t xml:space="preserve">– привлечение в установленном порядке для участия в работе Комиссии независимых экспертов и консультантов;</w:t>
      </w:r>
    </w:p>
    <w:p>
      <w:pPr>
        <w:spacing w:after="120"/>
        <w:ind w:firstLine="709"/>
        <w:jc w:val="both"/>
      </w:pPr>
      <w:r>
        <w:rPr>
          <w:rFonts w:ascii="Arial" w:cs="Arial" w:eastAsia="Arial" w:hAnsi="Arial"/>
          <w:sz w:val="24"/>
          <w:szCs w:val="24"/>
        </w:rPr>
        <w:t xml:space="preserve">– проведение в случае необходимости расширенных заседаний с участием представителей заинтересованных государственных органов, ОМСУ и иных организаций, не входящих в состав Комиссии, а также организация обучающих и иных мероприятий;</w:t>
      </w:r>
    </w:p>
    <w:p>
      <w:pPr>
        <w:spacing w:after="120"/>
        <w:ind w:firstLine="709"/>
        <w:jc w:val="both"/>
      </w:pPr>
      <w:r>
        <w:rPr>
          <w:rFonts w:ascii="Arial" w:cs="Arial" w:eastAsia="Arial" w:hAnsi="Arial"/>
          <w:sz w:val="24"/>
          <w:szCs w:val="24"/>
        </w:rPr>
        <w:t xml:space="preserve">– взаимодействие с заинтересованными государственными органами, ОМСУ и иными организациями, в том числе запрос и получение от них в установленном порядке необходимых материалов и информации по вопросам, относящимся к компетенции Комиссии, приглашение должностных лиц указанных органов и организаций (по согласованию с их руководителями) для участия в работе Комиссии. </w:t>
      </w:r>
    </w:p>
    <w:p>
      <w:pPr>
        <w:spacing w:after="120"/>
        <w:ind w:firstLine="709"/>
        <w:jc w:val="both"/>
      </w:pPr>
      <w:r>
        <w:rPr>
          <w:rFonts w:ascii="Arial" w:cs="Arial" w:eastAsia="Arial" w:hAnsi="Arial"/>
          <w:sz w:val="24"/>
          <w:szCs w:val="24"/>
        </w:rPr>
        <w:t xml:space="preserve">13. Членами Комиссии (по назначению) являются представители заинтересованных министерств, ведомств согласно приложению 2 к настоящему Положению. </w:t>
      </w:r>
    </w:p>
    <w:p>
      <w:pPr>
        <w:spacing w:after="120"/>
        <w:ind w:firstLine="709"/>
        <w:jc w:val="both"/>
      </w:pPr>
      <w:r>
        <w:rPr>
          <w:rFonts w:ascii="Arial" w:cs="Arial" w:eastAsia="Arial" w:hAnsi="Arial"/>
          <w:sz w:val="24"/>
          <w:szCs w:val="24"/>
        </w:rPr>
        <w:t xml:space="preserve">14. В состав Комиссии также входят члены в личном качестве (не более 20 % от общей численности членов Комиссии по назначению), утверждаемые решением большинства голосов членов Комиссии по назначению. </w:t>
      </w:r>
    </w:p>
    <w:p>
      <w:pPr>
        <w:spacing w:after="120"/>
        <w:ind w:firstLine="709"/>
        <w:jc w:val="both"/>
      </w:pPr>
      <w:r>
        <w:rPr>
          <w:rFonts w:ascii="Arial" w:cs="Arial" w:eastAsia="Arial" w:hAnsi="Arial"/>
          <w:sz w:val="24"/>
          <w:szCs w:val="24"/>
        </w:rPr>
        <w:t xml:space="preserve">15. Решения Комиссии принимаются простым большинством голосов ее членов. Решение считается правомочным, если на заседании присутствует не менее половины членов Комиссии. Если голоса членов Комиссии разделились поровну, решающее значение имеет голос ее председателя.</w:t>
      </w:r>
    </w:p>
    <w:p>
      <w:pPr>
        <w:spacing w:after="120"/>
        <w:ind w:firstLine="709"/>
        <w:jc w:val="both"/>
      </w:pPr>
      <w:r>
        <w:rPr>
          <w:rFonts w:ascii="Arial" w:cs="Arial" w:eastAsia="Arial" w:hAnsi="Arial"/>
          <w:sz w:val="24"/>
          <w:szCs w:val="24"/>
        </w:rPr>
        <w:t xml:space="preserve">16. Члены Комиссии осуществляют свою деятельность на общественных началах. </w:t>
      </w:r>
    </w:p>
    <w:p>
      <w:pPr>
        <w:spacing w:after="120"/>
        <w:ind w:firstLine="709"/>
        <w:jc w:val="both"/>
      </w:pPr>
      <w:r>
        <w:rPr>
          <w:rFonts w:ascii="Arial" w:cs="Arial" w:eastAsia="Arial" w:hAnsi="Arial"/>
          <w:sz w:val="24"/>
          <w:szCs w:val="24"/>
        </w:rPr>
        <w:t xml:space="preserve">17. Секретариатом Комиссии, обеспечивающим его работу, включая вопросы организации и проведения заседаний, является подразделение уполномоченного органа в сфере борьбы с незаконным оборотом наркотиков.</w:t>
      </w:r>
    </w:p>
    <w:p>
      <w:pPr>
        <w:spacing w:after="120"/>
        <w:ind w:firstLine="709"/>
        <w:jc w:val="both"/>
      </w:pPr>
      <w:r>
        <w:rPr>
          <w:rFonts w:ascii="Arial" w:cs="Arial" w:eastAsia="Arial" w:hAnsi="Arial"/>
          <w:sz w:val="24"/>
          <w:szCs w:val="24"/>
        </w:rPr>
        <w:t xml:space="preserve">Ответственный секретарь Комиссии утверждается из числа сотрудников или работников подразделения уполномоченного государственного органа в сфере борьбы с незаконным оборотом наркотиков в порядке, определяемом регламентом работы Комиссии.</w:t>
      </w:r>
    </w:p>
    <w:p>
      <w:pPr>
        <w:spacing w:after="120"/>
        <w:ind w:firstLine="709"/>
        <w:jc w:val="both"/>
      </w:pPr>
      <w:r>
        <w:rPr>
          <w:rFonts w:ascii="Arial" w:cs="Arial" w:eastAsia="Arial" w:hAnsi="Arial"/>
          <w:sz w:val="24"/>
          <w:szCs w:val="24"/>
        </w:rPr>
        <w:t xml:space="preserve">Ответственный секретарь Комиссии: </w:t>
      </w:r>
    </w:p>
    <w:p>
      <w:pPr>
        <w:spacing w:after="120"/>
        <w:ind w:firstLine="709"/>
        <w:jc w:val="both"/>
      </w:pPr>
      <w:r>
        <w:rPr>
          <w:rFonts w:ascii="Arial" w:cs="Arial" w:eastAsia="Arial" w:hAnsi="Arial"/>
          <w:sz w:val="24"/>
          <w:szCs w:val="24"/>
        </w:rPr>
        <w:t xml:space="preserve">– по поручению председателя Комиссии организует проведение заседаний;</w:t>
      </w:r>
    </w:p>
    <w:p>
      <w:pPr>
        <w:spacing w:after="120"/>
        <w:ind w:firstLine="709"/>
        <w:jc w:val="both"/>
      </w:pPr>
      <w:r>
        <w:rPr>
          <w:rFonts w:ascii="Arial" w:cs="Arial" w:eastAsia="Arial" w:hAnsi="Arial"/>
          <w:sz w:val="24"/>
          <w:szCs w:val="24"/>
        </w:rPr>
        <w:t xml:space="preserve">– обеспечивает подготовку материалов к заседаниям, рассылку проектов повестки дня и решений;</w:t>
      </w:r>
    </w:p>
    <w:p>
      <w:pPr>
        <w:spacing w:after="120"/>
        <w:ind w:firstLine="709"/>
        <w:jc w:val="both"/>
      </w:pPr>
      <w:r>
        <w:rPr>
          <w:rFonts w:ascii="Arial" w:cs="Arial" w:eastAsia="Arial" w:hAnsi="Arial"/>
          <w:sz w:val="24"/>
          <w:szCs w:val="24"/>
        </w:rPr>
        <w:t xml:space="preserve">– обеспечивает в срок не позднее пяти рабочих дней до дня проведения заседания информирование членов Комиссии о дате, месте и времени проведения заседания, а также вопросах, включенных в повестку дня;</w:t>
      </w:r>
    </w:p>
    <w:p>
      <w:pPr>
        <w:spacing w:after="120"/>
        <w:ind w:firstLine="709"/>
        <w:jc w:val="both"/>
      </w:pPr>
      <w:r>
        <w:rPr>
          <w:rFonts w:ascii="Arial" w:cs="Arial" w:eastAsia="Arial" w:hAnsi="Arial"/>
          <w:sz w:val="24"/>
          <w:szCs w:val="24"/>
        </w:rPr>
        <w:t xml:space="preserve">– получает из республиканского центра мониторинга материалы, необходимые для подготовки заседания и направляет их членам Комиссии в установленном порядке; </w:t>
      </w:r>
    </w:p>
    <w:p>
      <w:pPr>
        <w:spacing w:after="120"/>
        <w:ind w:firstLine="709"/>
        <w:jc w:val="both"/>
      </w:pPr>
      <w:r>
        <w:rPr>
          <w:rFonts w:ascii="Arial" w:cs="Arial" w:eastAsia="Arial" w:hAnsi="Arial"/>
          <w:sz w:val="24"/>
          <w:szCs w:val="24"/>
        </w:rPr>
        <w:t xml:space="preserve">– ведет протоколы заседаний; </w:t>
      </w:r>
    </w:p>
    <w:p>
      <w:pPr>
        <w:spacing w:after="120"/>
        <w:ind w:firstLine="709"/>
        <w:jc w:val="both"/>
      </w:pPr>
      <w:r>
        <w:rPr>
          <w:rFonts w:ascii="Arial" w:cs="Arial" w:eastAsia="Arial" w:hAnsi="Arial"/>
          <w:sz w:val="24"/>
          <w:szCs w:val="24"/>
        </w:rPr>
        <w:t xml:space="preserve">– по поручению председателя Комиссии осуществляет мониторинг реализации решений; </w:t>
      </w:r>
    </w:p>
    <w:p>
      <w:pPr>
        <w:spacing w:after="120"/>
        <w:ind w:firstLine="709"/>
        <w:jc w:val="both"/>
      </w:pPr>
      <w:r>
        <w:rPr>
          <w:rFonts w:ascii="Arial" w:cs="Arial" w:eastAsia="Arial" w:hAnsi="Arial"/>
          <w:sz w:val="24"/>
          <w:szCs w:val="24"/>
        </w:rPr>
        <w:t xml:space="preserve">– оформляет документы, осуществляет ведение переписки с членами Комиссии, юридическими и физическими лицами по вопросам деятельности Комиссии. </w:t>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p>
    <w:p>
      <w:pPr>
        <w:spacing w:after="120"/>
        <w:jc w:val="right"/>
      </w:pPr>
      <w:r>
        <w:rPr>
          <w:rFonts w:ascii="Arial" w:cs="Arial" w:eastAsia="Arial" w:hAnsi="Arial"/>
          <w:sz w:val="24"/>
          <w:szCs w:val="24"/>
        </w:rPr>
        <w:t xml:space="preserve">к Положению о механизме раннего оповещения </w:t>
      </w:r>
    </w:p>
    <w:p>
      <w:pPr>
        <w:spacing w:after="120"/>
        <w:jc w:val="right"/>
      </w:pPr>
      <w:r>
        <w:rPr>
          <w:rFonts w:ascii="Arial" w:cs="Arial" w:eastAsia="Arial" w:hAnsi="Arial"/>
          <w:sz w:val="24"/>
          <w:szCs w:val="24"/>
        </w:rPr>
        <w:t xml:space="preserve">о появлении новых наркотиков, новых психоактивных веществ, </w:t>
      </w:r>
    </w:p>
    <w:p>
      <w:pPr>
        <w:spacing w:after="120"/>
        <w:jc w:val="right"/>
      </w:pPr>
      <w:r>
        <w:rPr>
          <w:rFonts w:ascii="Arial" w:cs="Arial" w:eastAsia="Arial" w:hAnsi="Arial"/>
          <w:sz w:val="24"/>
          <w:szCs w:val="24"/>
        </w:rPr>
        <w:t xml:space="preserve">предпрекурсоров и заменителей прекурсоров в Кыргызской Республике </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Список </w:t>
      </w:r>
    </w:p>
    <w:p>
      <w:pPr>
        <w:spacing w:after="240" w:before="200"/>
        <w:jc w:val="center"/>
      </w:pPr>
      <w:r>
        <w:rPr>
          <w:rFonts w:ascii="Arial" w:cs="Arial" w:eastAsia="Arial" w:hAnsi="Arial"/>
          <w:b/>
          <w:bCs/>
          <w:sz w:val="28"/>
          <w:szCs w:val="28"/>
        </w:rPr>
        <w:t xml:space="preserve">респондентов, взаимодействующих с республиканским центром мониторинга новых наркотиков, новых психоактивных веществ, предпрекурсоров и заменителей прекурсоров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Экспертно-криминалистическая служба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2. Медицинское управление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3. Управления внутренних дел областей и городов Бишкек, Ош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4. Республиканский центр психиатрии и наркологии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5. Республиканский центр судебно-медицинских экспертиз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6. Департамент лекарственных средств и медицинских изделий при Министерстве здравоохранения Кыргызской Республики </w:t>
      </w:r>
    </w:p>
    <w:p>
      <w:pPr>
        <w:spacing w:after="120"/>
        <w:ind w:firstLine="709"/>
        <w:jc w:val="both"/>
      </w:pPr>
      <w:r>
        <w:rPr>
          <w:rFonts w:ascii="Arial" w:cs="Arial" w:eastAsia="Arial" w:hAnsi="Arial"/>
          <w:sz w:val="24"/>
          <w:szCs w:val="24"/>
        </w:rPr>
        <w:t xml:space="preserve">7. Республиканский центр укрепления здоровья и массовой коммуникации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8. Республиканский центр по контролю за гемоконтактными и вирусными гепатитами и вирусом иммунодефицита человека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9. Судебно-экспертная служба при Министерстве юстиции Кыргызской Республики </w:t>
      </w:r>
    </w:p>
    <w:p>
      <w:pPr>
        <w:spacing w:after="120"/>
        <w:ind w:firstLine="709"/>
        <w:jc w:val="both"/>
      </w:pPr>
      <w:r>
        <w:rPr>
          <w:rFonts w:ascii="Arial" w:cs="Arial" w:eastAsia="Arial" w:hAnsi="Arial"/>
          <w:sz w:val="24"/>
          <w:szCs w:val="24"/>
        </w:rPr>
        <w:t xml:space="preserve">10. Департамент пробации при Министерстве юстиции Кыргызской Республики </w:t>
      </w:r>
    </w:p>
    <w:p>
      <w:pPr>
        <w:spacing w:after="120"/>
        <w:ind w:firstLine="709"/>
        <w:jc w:val="both"/>
      </w:pPr>
      <w:r>
        <w:rPr>
          <w:rFonts w:ascii="Arial" w:cs="Arial" w:eastAsia="Arial" w:hAnsi="Arial"/>
          <w:sz w:val="24"/>
          <w:szCs w:val="24"/>
        </w:rPr>
        <w:t xml:space="preserve">11. Департамент международных организаций Министерства иностранных дел Кыргызской Республики </w:t>
      </w:r>
    </w:p>
    <w:p>
      <w:pPr>
        <w:spacing w:after="120"/>
        <w:ind w:firstLine="709"/>
        <w:jc w:val="both"/>
      </w:pPr>
      <w:r>
        <w:rPr>
          <w:rFonts w:ascii="Arial" w:cs="Arial" w:eastAsia="Arial" w:hAnsi="Arial"/>
          <w:sz w:val="24"/>
          <w:szCs w:val="24"/>
        </w:rPr>
        <w:t xml:space="preserve">12.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w:t>
      </w:r>
    </w:p>
    <w:p>
      <w:pPr>
        <w:spacing w:after="120"/>
        <w:ind w:firstLine="709"/>
        <w:jc w:val="both"/>
      </w:pPr>
      <w:r>
        <w:rPr>
          <w:rFonts w:ascii="Arial" w:cs="Arial" w:eastAsia="Arial" w:hAnsi="Arial"/>
          <w:sz w:val="24"/>
          <w:szCs w:val="24"/>
        </w:rPr>
        <w:t xml:space="preserve">13. Военно-медицинское управление Министерства обороны Кыргызской Республики </w:t>
      </w:r>
    </w:p>
    <w:p>
      <w:pPr>
        <w:spacing w:after="120"/>
        <w:ind w:firstLine="709"/>
        <w:jc w:val="both"/>
      </w:pPr>
      <w:r>
        <w:rPr>
          <w:rFonts w:ascii="Arial" w:cs="Arial" w:eastAsia="Arial" w:hAnsi="Arial"/>
          <w:sz w:val="24"/>
          <w:szCs w:val="24"/>
        </w:rPr>
        <w:t xml:space="preserve">14. Отдел тарифного, нетарифного регулирования управления торговой политики Министерства экономики и коммерции Кыргызской Республики </w:t>
      </w:r>
    </w:p>
    <w:p>
      <w:pPr>
        <w:spacing w:after="120"/>
        <w:ind w:firstLine="709"/>
        <w:jc w:val="both"/>
      </w:pPr>
      <w:r>
        <w:rPr>
          <w:rFonts w:ascii="Arial" w:cs="Arial" w:eastAsia="Arial" w:hAnsi="Arial"/>
          <w:sz w:val="24"/>
          <w:szCs w:val="24"/>
        </w:rPr>
        <w:t xml:space="preserve">15. Министерство просвещения Кыргызской Республики </w:t>
      </w:r>
    </w:p>
    <w:p>
      <w:pPr>
        <w:spacing w:after="120"/>
        <w:ind w:firstLine="709"/>
        <w:jc w:val="both"/>
      </w:pPr>
      <w:r>
        <w:rPr>
          <w:rFonts w:ascii="Arial" w:cs="Arial" w:eastAsia="Arial" w:hAnsi="Arial"/>
          <w:sz w:val="24"/>
          <w:szCs w:val="24"/>
        </w:rPr>
        <w:t xml:space="preserve">16. Министерство науки, высшего образования и инноваций Кыргызской Республики </w:t>
      </w:r>
    </w:p>
    <w:p>
      <w:pPr>
        <w:spacing w:after="120"/>
        <w:ind w:firstLine="709"/>
        <w:jc w:val="both"/>
      </w:pPr>
      <w:r>
        <w:rPr>
          <w:rFonts w:ascii="Arial" w:cs="Arial" w:eastAsia="Arial" w:hAnsi="Arial"/>
          <w:sz w:val="24"/>
          <w:szCs w:val="24"/>
        </w:rPr>
        <w:t xml:space="preserve">17. Департамент мониторинга, прогнозирования чрезвычайных ситуаций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18. Центр управления в кризисных ситуациях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19. Управление государственной экологической экспертизы Министерства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20. Департамент экологического мониторинга при Министерстве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21. Отдел правового обеспечения и экспертизы Министерства труда, социального обеспечения и миграции Кыргызской Республики </w:t>
      </w:r>
    </w:p>
    <w:p>
      <w:pPr>
        <w:spacing w:after="120"/>
        <w:ind w:firstLine="709"/>
        <w:jc w:val="both"/>
      </w:pPr>
      <w:r>
        <w:rPr>
          <w:rFonts w:ascii="Arial" w:cs="Arial" w:eastAsia="Arial" w:hAnsi="Arial"/>
          <w:sz w:val="24"/>
          <w:szCs w:val="24"/>
        </w:rPr>
        <w:t xml:space="preserve">22. Министерство культуры, информации и молодежной политики Кыргызской Республики </w:t>
      </w:r>
    </w:p>
    <w:p>
      <w:pPr>
        <w:spacing w:after="120"/>
        <w:ind w:firstLine="709"/>
        <w:jc w:val="both"/>
      </w:pPr>
      <w:r>
        <w:rPr>
          <w:rFonts w:ascii="Arial" w:cs="Arial" w:eastAsia="Arial" w:hAnsi="Arial"/>
          <w:sz w:val="24"/>
          <w:szCs w:val="24"/>
        </w:rPr>
        <w:t xml:space="preserve">23. Экспертные и антинаркотические подразделения Государственного комитета национальной безопасности Кыргызской Республики </w:t>
      </w:r>
    </w:p>
    <w:p>
      <w:pPr>
        <w:spacing w:after="120"/>
        <w:ind w:firstLine="709"/>
        <w:jc w:val="both"/>
      </w:pPr>
      <w:r>
        <w:rPr>
          <w:rFonts w:ascii="Arial" w:cs="Arial" w:eastAsia="Arial" w:hAnsi="Arial"/>
          <w:sz w:val="24"/>
          <w:szCs w:val="24"/>
        </w:rPr>
        <w:t xml:space="preserve">24. Государственная таможенная служба при Кабинете Министров Кыргызской Республики </w:t>
      </w:r>
    </w:p>
    <w:p>
      <w:pPr>
        <w:spacing w:after="120"/>
        <w:ind w:firstLine="709"/>
        <w:jc w:val="both"/>
      </w:pPr>
      <w:r>
        <w:rPr>
          <w:rFonts w:ascii="Arial" w:cs="Arial" w:eastAsia="Arial" w:hAnsi="Arial"/>
          <w:sz w:val="24"/>
          <w:szCs w:val="24"/>
        </w:rPr>
        <w:t xml:space="preserve">25. Государственная служба исполнения наказаний при Кабинете Министров Кыргызской Республики </w:t>
      </w:r>
    </w:p>
    <w:p>
      <w:pPr>
        <w:spacing w:after="120"/>
        <w:ind w:firstLine="709"/>
        <w:jc w:val="both"/>
      </w:pPr>
      <w:r>
        <w:rPr>
          <w:rFonts w:ascii="Arial" w:cs="Arial" w:eastAsia="Arial" w:hAnsi="Arial"/>
          <w:sz w:val="24"/>
          <w:szCs w:val="24"/>
        </w:rPr>
        <w:t xml:space="preserve">26. Аппараты полномочных представителей Президента Кыргызской Республики в областях </w:t>
      </w:r>
    </w:p>
    <w:p>
      <w:pPr>
        <w:spacing w:after="120"/>
        <w:ind w:firstLine="709"/>
        <w:jc w:val="both"/>
      </w:pPr>
      <w:r>
        <w:rPr>
          <w:rFonts w:ascii="Arial" w:cs="Arial" w:eastAsia="Arial" w:hAnsi="Arial"/>
          <w:sz w:val="24"/>
          <w:szCs w:val="24"/>
        </w:rPr>
        <w:t xml:space="preserve">27. Мэрия города Бишкек </w:t>
      </w:r>
    </w:p>
    <w:p>
      <w:pPr>
        <w:spacing w:after="120"/>
        <w:ind w:firstLine="709"/>
        <w:jc w:val="both"/>
      </w:pPr>
      <w:r>
        <w:rPr>
          <w:rFonts w:ascii="Arial" w:cs="Arial" w:eastAsia="Arial" w:hAnsi="Arial"/>
          <w:sz w:val="24"/>
          <w:szCs w:val="24"/>
        </w:rPr>
        <w:t xml:space="preserve">28. Мэрия города Ош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p>
    <w:p>
      <w:pPr>
        <w:spacing w:after="120"/>
        <w:jc w:val="right"/>
      </w:pPr>
      <w:r>
        <w:rPr>
          <w:rFonts w:ascii="Arial" w:cs="Arial" w:eastAsia="Arial" w:hAnsi="Arial"/>
          <w:sz w:val="24"/>
          <w:szCs w:val="24"/>
        </w:rPr>
        <w:t xml:space="preserve">к Положению о механизме раннего оповещения </w:t>
      </w:r>
    </w:p>
    <w:p>
      <w:pPr>
        <w:spacing w:after="120"/>
        <w:jc w:val="right"/>
      </w:pPr>
      <w:r>
        <w:rPr>
          <w:rFonts w:ascii="Arial" w:cs="Arial" w:eastAsia="Arial" w:hAnsi="Arial"/>
          <w:sz w:val="24"/>
          <w:szCs w:val="24"/>
        </w:rPr>
        <w:t xml:space="preserve">о появлении новых наркотиков, новых психоактивных веществ, </w:t>
      </w:r>
    </w:p>
    <w:p>
      <w:pPr>
        <w:spacing w:after="120"/>
        <w:jc w:val="right"/>
      </w:pPr>
      <w:r>
        <w:rPr>
          <w:rFonts w:ascii="Arial" w:cs="Arial" w:eastAsia="Arial" w:hAnsi="Arial"/>
          <w:sz w:val="24"/>
          <w:szCs w:val="24"/>
        </w:rPr>
        <w:t xml:space="preserve">предпрекурсоров и заменителей прекурсоров в Кыргызской Республике </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Состав комиссии по наркотикам и наркотической зависимости </w:t>
      </w:r>
    </w:p>
    <w:p>
      <w:pPr>
        <w:spacing w:after="240" w:before="200"/>
        <w:jc w:val="center"/>
      </w:pPr>
      <w:r>
        <w:rPr>
          <w:rFonts w:ascii="Arial" w:cs="Arial" w:eastAsia="Arial" w:hAnsi="Arial"/>
          <w:b/>
          <w:bCs/>
          <w:sz w:val="28"/>
          <w:szCs w:val="28"/>
        </w:rPr>
        <w:t xml:space="preserve">(по назначению)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состав комиссии по наркотикам и наркотической зависимости входят представители: </w:t>
      </w:r>
    </w:p>
    <w:p>
      <w:pPr>
        <w:spacing w:after="120"/>
        <w:ind w:firstLine="709"/>
        <w:jc w:val="both"/>
      </w:pPr>
      <w:r>
        <w:rPr>
          <w:rFonts w:ascii="Arial" w:cs="Arial" w:eastAsia="Arial" w:hAnsi="Arial"/>
          <w:sz w:val="24"/>
          <w:szCs w:val="24"/>
        </w:rPr>
        <w:t xml:space="preserve">1) Службы по борьбе с незаконным оборотом наркотиков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2) Экспертно-криминалистической службы Министерства внутренних дел Кыргызской Республики;</w:t>
      </w:r>
    </w:p>
    <w:p>
      <w:pPr>
        <w:spacing w:after="120"/>
        <w:ind w:firstLine="709"/>
        <w:jc w:val="both"/>
      </w:pPr>
      <w:r>
        <w:rPr>
          <w:rFonts w:ascii="Arial" w:cs="Arial" w:eastAsia="Arial" w:hAnsi="Arial"/>
          <w:sz w:val="24"/>
          <w:szCs w:val="24"/>
        </w:rPr>
        <w:t xml:space="preserve">3) Службы общественной безопасности Министерства внутренних дел Кыргызской Республики; </w:t>
      </w:r>
    </w:p>
    <w:p>
      <w:pPr>
        <w:spacing w:after="120"/>
        <w:ind w:firstLine="709"/>
        <w:jc w:val="both"/>
      </w:pPr>
      <w:r>
        <w:rPr>
          <w:rFonts w:ascii="Arial" w:cs="Arial" w:eastAsia="Arial" w:hAnsi="Arial"/>
          <w:sz w:val="24"/>
          <w:szCs w:val="24"/>
        </w:rPr>
        <w:t xml:space="preserve">4) Республиканского центра психиатрии и наркологии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5) Республиканского центра судебно-медицинских экспертиз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6) Департамента лекарственных средств и медицинских изделий при Министерстве здравоохранения Кыргызской Республики; </w:t>
      </w:r>
    </w:p>
    <w:p>
      <w:pPr>
        <w:spacing w:after="120"/>
        <w:ind w:firstLine="709"/>
        <w:jc w:val="both"/>
      </w:pPr>
      <w:r>
        <w:rPr>
          <w:rFonts w:ascii="Arial" w:cs="Arial" w:eastAsia="Arial" w:hAnsi="Arial"/>
          <w:sz w:val="24"/>
          <w:szCs w:val="24"/>
        </w:rPr>
        <w:t xml:space="preserve">7) Департамента профилактики заболеваний и государственного санитарно-эпидемиологического надзора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8) Республиканского центра по контролю за гемоконтактными вирусными гепатитами и вирусом иммунодефицита человека Министерства здравоохранения Кыргызской Республики; </w:t>
      </w:r>
    </w:p>
    <w:p>
      <w:pPr>
        <w:spacing w:after="120"/>
        <w:ind w:firstLine="709"/>
        <w:jc w:val="both"/>
      </w:pPr>
      <w:r>
        <w:rPr>
          <w:rFonts w:ascii="Arial" w:cs="Arial" w:eastAsia="Arial" w:hAnsi="Arial"/>
          <w:sz w:val="24"/>
          <w:szCs w:val="24"/>
        </w:rPr>
        <w:t xml:space="preserve">9) Судебно-экспертной службы при Министерстве юстиции Кыргызской Республики; </w:t>
      </w:r>
    </w:p>
    <w:p>
      <w:pPr>
        <w:spacing w:after="120"/>
        <w:ind w:firstLine="709"/>
        <w:jc w:val="both"/>
      </w:pPr>
      <w:r>
        <w:rPr>
          <w:rFonts w:ascii="Arial" w:cs="Arial" w:eastAsia="Arial" w:hAnsi="Arial"/>
          <w:sz w:val="24"/>
          <w:szCs w:val="24"/>
        </w:rPr>
        <w:t xml:space="preserve">10) Института нормотворчества и верховенства права при Министерстве юстиции Кыргызской Республики; </w:t>
      </w:r>
    </w:p>
    <w:p>
      <w:pPr>
        <w:spacing w:after="120"/>
        <w:ind w:firstLine="709"/>
        <w:jc w:val="both"/>
      </w:pPr>
      <w:r>
        <w:rPr>
          <w:rFonts w:ascii="Arial" w:cs="Arial" w:eastAsia="Arial" w:hAnsi="Arial"/>
          <w:sz w:val="24"/>
          <w:szCs w:val="24"/>
        </w:rPr>
        <w:t xml:space="preserve">11) Департамента международных организаций Министерства иностранных дел Кыргызской Республики; </w:t>
      </w:r>
    </w:p>
    <w:p>
      <w:pPr>
        <w:spacing w:after="120"/>
        <w:ind w:firstLine="709"/>
        <w:jc w:val="both"/>
      </w:pPr>
      <w:r>
        <w:rPr>
          <w:rFonts w:ascii="Arial" w:cs="Arial" w:eastAsia="Arial" w:hAnsi="Arial"/>
          <w:sz w:val="24"/>
          <w:szCs w:val="24"/>
        </w:rPr>
        <w:t xml:space="preserve">12)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w:t>
      </w:r>
    </w:p>
    <w:p>
      <w:pPr>
        <w:spacing w:after="120"/>
        <w:ind w:firstLine="709"/>
        <w:jc w:val="both"/>
      </w:pPr>
      <w:r>
        <w:rPr>
          <w:rFonts w:ascii="Arial" w:cs="Arial" w:eastAsia="Arial" w:hAnsi="Arial"/>
          <w:sz w:val="24"/>
          <w:szCs w:val="24"/>
        </w:rPr>
        <w:t xml:space="preserve">13) Военно-медицинского управления Министерства обороны Кыргызской Республики; </w:t>
      </w:r>
    </w:p>
    <w:p>
      <w:pPr>
        <w:spacing w:after="120"/>
        <w:ind w:firstLine="709"/>
        <w:jc w:val="both"/>
      </w:pPr>
      <w:r>
        <w:rPr>
          <w:rFonts w:ascii="Arial" w:cs="Arial" w:eastAsia="Arial" w:hAnsi="Arial"/>
          <w:sz w:val="24"/>
          <w:szCs w:val="24"/>
        </w:rPr>
        <w:t xml:space="preserve">14) отдела тарифного, нетарифного регулирования управления торговой политики Министерства экономики и коммерции Кыргызской Республики; </w:t>
      </w:r>
    </w:p>
    <w:p>
      <w:pPr>
        <w:spacing w:after="120"/>
        <w:ind w:firstLine="709"/>
        <w:jc w:val="both"/>
      </w:pPr>
      <w:r>
        <w:rPr>
          <w:rFonts w:ascii="Arial" w:cs="Arial" w:eastAsia="Arial" w:hAnsi="Arial"/>
          <w:sz w:val="24"/>
          <w:szCs w:val="24"/>
        </w:rPr>
        <w:t xml:space="preserve">15) Министерства просвещения Кыргызской Республики; </w:t>
      </w:r>
    </w:p>
    <w:p>
      <w:pPr>
        <w:spacing w:after="120"/>
        <w:ind w:firstLine="709"/>
        <w:jc w:val="both"/>
      </w:pPr>
      <w:r>
        <w:rPr>
          <w:rFonts w:ascii="Arial" w:cs="Arial" w:eastAsia="Arial" w:hAnsi="Arial"/>
          <w:sz w:val="24"/>
          <w:szCs w:val="24"/>
        </w:rPr>
        <w:t xml:space="preserve">16) Министерства науки, высшего образования и инноваций Кыргызской Республики; </w:t>
      </w:r>
    </w:p>
    <w:p>
      <w:pPr>
        <w:spacing w:after="120"/>
        <w:ind w:firstLine="709"/>
        <w:jc w:val="both"/>
      </w:pPr>
      <w:r>
        <w:rPr>
          <w:rFonts w:ascii="Arial" w:cs="Arial" w:eastAsia="Arial" w:hAnsi="Arial"/>
          <w:sz w:val="24"/>
          <w:szCs w:val="24"/>
        </w:rPr>
        <w:t xml:space="preserve">17) Центра управления в кризисных ситуациях при Министерстве чрезвычайных ситуаций Кыргызской Республики; </w:t>
      </w:r>
    </w:p>
    <w:p>
      <w:pPr>
        <w:spacing w:after="120"/>
        <w:ind w:firstLine="709"/>
        <w:jc w:val="both"/>
      </w:pPr>
      <w:r>
        <w:rPr>
          <w:rFonts w:ascii="Arial" w:cs="Arial" w:eastAsia="Arial" w:hAnsi="Arial"/>
          <w:sz w:val="24"/>
          <w:szCs w:val="24"/>
        </w:rPr>
        <w:t xml:space="preserve">18) управления государственной экологической экспертизы Министерства природных ресурсов, экологии и технического надзора Кыргызской Республики; </w:t>
      </w:r>
    </w:p>
    <w:p>
      <w:pPr>
        <w:spacing w:after="120"/>
        <w:ind w:firstLine="709"/>
        <w:jc w:val="both"/>
      </w:pPr>
      <w:r>
        <w:rPr>
          <w:rFonts w:ascii="Arial" w:cs="Arial" w:eastAsia="Arial" w:hAnsi="Arial"/>
          <w:sz w:val="24"/>
          <w:szCs w:val="24"/>
        </w:rPr>
        <w:t xml:space="preserve">19) Государственного комитета национальной безопасности Кыргызской Республики; </w:t>
      </w:r>
    </w:p>
    <w:p>
      <w:pPr>
        <w:spacing w:after="120"/>
        <w:ind w:firstLine="709"/>
        <w:jc w:val="both"/>
      </w:pPr>
      <w:r>
        <w:rPr>
          <w:rFonts w:ascii="Arial" w:cs="Arial" w:eastAsia="Arial" w:hAnsi="Arial"/>
          <w:sz w:val="24"/>
          <w:szCs w:val="24"/>
        </w:rPr>
        <w:t xml:space="preserve">20) Государственной таможенной службы при Кабинете Министров Кыргызской Республики; </w:t>
      </w:r>
    </w:p>
    <w:p>
      <w:pPr>
        <w:spacing w:after="120"/>
        <w:ind w:firstLine="709"/>
        <w:jc w:val="both"/>
      </w:pPr>
      <w:r>
        <w:rPr>
          <w:rFonts w:ascii="Arial" w:cs="Arial" w:eastAsia="Arial" w:hAnsi="Arial"/>
          <w:sz w:val="24"/>
          <w:szCs w:val="24"/>
        </w:rPr>
        <w:t xml:space="preserve">21) Генеральной прокуратуры Кыргызской Республики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thsagwf99etial7ohme">
      <w:r>
        <w:rPr>
          <w:rFonts w:ascii="Arial" w:cs="Arial" w:eastAsia="Arial" w:hAnsi="Arial"/>
          <w:color w:val="132D3F"/>
          <w:sz w:val="16"/>
          <w:szCs w:val="16"/>
          <w:u w:val="single"/>
        </w:rPr>
        <w:t xml:space="preserve">dalil.kg/document/230029720</w:t>
      </w:r>
    </w:hyperlink>
  </w:p>
  <w:p>
    <w:pPr>
      <w:spacing w:after="0" w:before="40"/>
      <w:jc w:val="center"/>
    </w:pPr>
    <w:hyperlink w:history="1" r:id="rIdpkdzhsiayn4xn10kxpk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r_-gknjg4z3zevccknx" Type="http://schemas.openxmlformats.org/officeDocument/2006/relationships/hyperlink" Target="https://dalil.kg/document/2300297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thsagwf99etial7ohme" Type="http://schemas.openxmlformats.org/officeDocument/2006/relationships/hyperlink" Target="https://dalil.kg/document/230029720" TargetMode="External"/><Relationship Id="rIdpkdzhsiayn4xn10kxpk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2026-09-27T08:43:27.390Z</dcterms:created>
  <dcterms:modified xsi:type="dcterms:W3CDTF">2026-09-27T08:43:27.390Z</dcterms:modified>
</cp:coreProperties>
</file>

<file path=docProps/custom.xml><?xml version="1.0" encoding="utf-8"?>
<Properties xmlns="http://schemas.openxmlformats.org/officeDocument/2006/custom-properties" xmlns:vt="http://schemas.openxmlformats.org/officeDocument/2006/docPropsVTypes"/>
</file>