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462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города Кара-Суу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Кара-Сууйского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</w:t>
      </w:r>
      <w:r>
        <w:rPr>
          <w:rFonts w:ascii="Arial" w:cs="Arial" w:eastAsia="Arial" w:hAnsi="Arial"/>
          <w:sz w:val="24"/>
          <w:szCs w:val="24"/>
        </w:rPr>
        <w:t xml:space="preserve">кирпичного завода </w:t>
      </w:r>
      <w:r>
        <w:rPr>
          <w:rFonts w:ascii="Arial" w:cs="Arial" w:eastAsia="Arial" w:hAnsi="Arial"/>
          <w:sz w:val="24"/>
          <w:szCs w:val="24"/>
        </w:rPr>
        <w:t xml:space="preserve">на территории </w:t>
      </w:r>
      <w:r>
        <w:rPr>
          <w:rFonts w:ascii="Arial" w:cs="Arial" w:eastAsia="Arial" w:hAnsi="Arial"/>
          <w:sz w:val="24"/>
          <w:szCs w:val="24"/>
        </w:rPr>
        <w:t xml:space="preserve">города Кара-Суу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Ошской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переводе (трансформации) земельных участков», статьями </w:t>
      </w:r>
      <w:hyperlink w:history="1" r:id="rIdjpw-jwbbqsoxwg2tdon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5up32f3gcwidzc8br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ской области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01-39/949, постановление</w:t>
      </w:r>
      <w:r>
        <w:rPr>
          <w:rFonts w:ascii="Arial" w:cs="Arial" w:eastAsia="Arial" w:hAnsi="Arial"/>
          <w:sz w:val="24"/>
          <w:szCs w:val="24"/>
        </w:rPr>
        <w:t xml:space="preserve"> государственной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Кара-Сууй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Ошской области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Перевести (трансформировать)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га земель </w:t>
      </w:r>
      <w:r>
        <w:rPr>
          <w:rFonts w:ascii="Arial" w:cs="Arial" w:eastAsia="Arial" w:hAnsi="Arial"/>
          <w:sz w:val="24"/>
          <w:szCs w:val="24"/>
        </w:rPr>
        <w:t xml:space="preserve">залежи,</w:t>
      </w:r>
      <w:r>
        <w:rPr>
          <w:rFonts w:ascii="Arial" w:cs="Arial" w:eastAsia="Arial" w:hAnsi="Arial"/>
          <w:sz w:val="24"/>
          <w:szCs w:val="24"/>
        </w:rPr>
        <w:t xml:space="preserve"> находящихся </w:t>
      </w:r>
      <w:r>
        <w:rPr>
          <w:rFonts w:ascii="Arial" w:cs="Arial" w:eastAsia="Arial" w:hAnsi="Arial"/>
          <w:sz w:val="24"/>
          <w:szCs w:val="24"/>
        </w:rPr>
        <w:t xml:space="preserve">в госуд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вен</w:t>
      </w:r>
      <w:r>
        <w:rPr>
          <w:rFonts w:ascii="Arial" w:cs="Arial" w:eastAsia="Arial" w:hAnsi="Arial"/>
          <w:sz w:val="24"/>
          <w:szCs w:val="24"/>
        </w:rPr>
        <w:t xml:space="preserve">ной</w:t>
      </w:r>
      <w:r>
        <w:rPr>
          <w:rFonts w:ascii="Arial" w:cs="Arial" w:eastAsia="Arial" w:hAnsi="Arial"/>
          <w:sz w:val="24"/>
          <w:szCs w:val="24"/>
        </w:rPr>
        <w:t xml:space="preserve">собственности, расположенн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в контуре № 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 на участке </w:t>
      </w:r>
      <w:r>
        <w:rPr>
          <w:rFonts w:ascii="Arial" w:cs="Arial" w:eastAsia="Arial" w:hAnsi="Arial"/>
          <w:sz w:val="24"/>
          <w:szCs w:val="24"/>
        </w:rPr>
        <w:t xml:space="preserve">Присавай</w:t>
      </w:r>
      <w:r>
        <w:rPr>
          <w:rFonts w:ascii="Arial" w:cs="Arial" w:eastAsia="Arial" w:hAnsi="Arial"/>
          <w:sz w:val="24"/>
          <w:szCs w:val="24"/>
        </w:rPr>
        <w:t xml:space="preserve">города Кара-Суу Кара-Сууй</w:t>
      </w:r>
      <w:r>
        <w:rPr>
          <w:rFonts w:ascii="Arial" w:cs="Arial" w:eastAsia="Arial" w:hAnsi="Arial"/>
          <w:sz w:val="24"/>
          <w:szCs w:val="24"/>
        </w:rPr>
        <w:t xml:space="preserve">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</w:t>
      </w:r>
      <w:r>
        <w:rPr>
          <w:rFonts w:ascii="Arial" w:cs="Arial" w:eastAsia="Arial" w:hAnsi="Arial"/>
          <w:sz w:val="24"/>
          <w:szCs w:val="24"/>
        </w:rPr>
        <w:t xml:space="preserve">кирпичного завода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Кара-Сууй</w:t>
      </w:r>
      <w:r>
        <w:rPr>
          <w:rFonts w:ascii="Arial" w:cs="Arial" w:eastAsia="Arial" w:hAnsi="Arial"/>
          <w:sz w:val="24"/>
          <w:szCs w:val="24"/>
        </w:rPr>
        <w:t xml:space="preserve">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разработку и утверждение градостроительной документации</w:t>
      </w:r>
      <w:r>
        <w:rPr>
          <w:rFonts w:ascii="Arial" w:cs="Arial" w:eastAsia="Arial" w:hAnsi="Arial"/>
          <w:sz w:val="24"/>
          <w:szCs w:val="24"/>
        </w:rPr>
        <w:t xml:space="preserve">указанных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земель, указанных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выплату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принятие мер в отношении собственника земель, предусматривающих изъятие и приведение в первоначальное состояние земель, указанных в пункте 1 настоящего постановления, в случае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неиспользования или использования не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сохранность объектов историко-культурного наследия в случае их выявления на вышеуказанных землях в соответствии с законодательством об охране и использовании объектов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0sowbk7aocsp2xpdd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dalil.kg/document/230029735</w:t>
      </w:r>
    </w:hyperlink>
  </w:p>
  <w:p>
    <w:pPr>
      <w:spacing w:after="0" w:before="40"/>
      <w:jc w:val="center"/>
    </w:pPr>
    <w:hyperlink w:history="1" r:id="rIdfrr1b0i_yxuuj5fwsc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w-jwbbqsoxwg2tdonj0" Type="http://schemas.openxmlformats.org/officeDocument/2006/relationships/hyperlink" Target="https://dalil.kg/document/112301" TargetMode="External"/><Relationship Id="rIdn5up32f3gcwidzc8br4ly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0sowbk7aocsp2xpddau" Type="http://schemas.openxmlformats.org/officeDocument/2006/relationships/hyperlink" Target="https://dalil.kg/document/230029735" TargetMode="External"/><Relationship Id="rIdfrr1b0i_yxuuj5fwscx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2026-09-27T08:41:31.603Z</dcterms:created>
  <dcterms:modified xsi:type="dcterms:W3CDTF">2026-09-27T08:41:31.603Z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