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июля 2025 года № 152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правонарушениях, Закон Кыргызской Республики "О порядке рассмотрения обращений граждан")</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yieszy4l4ljyx9t2-7y7_">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дополнить </w:t>
      </w:r>
      <w:hyperlink w:history="1" r:id="rIdcb6dkxhujq95t-8ymjpqa">
        <w:r>
          <w:rPr>
            <w:rFonts w:ascii="Arial" w:cs="Arial" w:eastAsia="Arial" w:hAnsi="Arial"/>
            <w:color w:val="1D4ED8"/>
            <w:sz w:val="24"/>
            <w:szCs w:val="24"/>
            <w:u w:val="single"/>
          </w:rPr>
          <w:t xml:space="preserve">статьей 435-1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k3rv_1mtsezpxrzubap3l">
        <w:r>
          <w:rPr>
            <w:rFonts w:ascii="Arial" w:cs="Arial" w:eastAsia="Arial" w:hAnsi="Arial"/>
            <w:color w:val="1D4ED8"/>
            <w:sz w:val="24"/>
            <w:szCs w:val="24"/>
            <w:u w:val="single"/>
          </w:rPr>
          <w:t xml:space="preserve">Статья 435-1</w:t>
        </w:r>
      </w:hyperlink>
      <w:r>
        <w:rPr>
          <w:rFonts w:ascii="Arial" w:cs="Arial" w:eastAsia="Arial" w:hAnsi="Arial"/>
          <w:sz w:val="24"/>
          <w:szCs w:val="24"/>
        </w:rPr>
        <w:t xml:space="preserve">. Нарушение порядка рассмотрения обращений граждан</w:t>
      </w:r>
    </w:p>
    <w:p>
      <w:pPr>
        <w:spacing w:after="120"/>
        <w:ind w:firstLine="567"/>
        <w:jc w:val="both"/>
      </w:pPr>
      <w:r>
        <w:rPr>
          <w:rFonts w:ascii="Arial" w:cs="Arial" w:eastAsia="Arial" w:hAnsi="Arial"/>
          <w:sz w:val="24"/>
          <w:szCs w:val="24"/>
        </w:rPr>
        <w:t xml:space="preserve">Нарушение должностными лицами государственных органов и органов местного самоуправления установленного законодательством Кыргызской Республики порядка рассмотрения обращений граждан, выразившееся в неправомерном отказе в принятии и рассмотрении обращений граждан, нарушении сроков их рассмотрения, непредставлении ответа в письменной (электронной) форме, а также необеспечение восстановления нарушенных прав гражданина -</w:t>
      </w:r>
    </w:p>
    <w:p>
      <w:pPr>
        <w:spacing w:after="120"/>
        <w:ind w:firstLine="567"/>
        <w:jc w:val="both"/>
      </w:pPr>
      <w:r>
        <w:rPr>
          <w:rFonts w:ascii="Arial" w:cs="Arial" w:eastAsia="Arial" w:hAnsi="Arial"/>
          <w:sz w:val="24"/>
          <w:szCs w:val="24"/>
        </w:rPr>
        <w:t xml:space="preserve">влекут наложение штрафа на должностных лиц в размере 100 расчетных показателей.".</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6axurmvaok3wrbt2flgr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рассмотрения обращений граждан" (Ведомости Жогорку Кенеша Кыргызской Республики, 2007 г., № 5, ст.458) следующие изменения:</w:t>
      </w:r>
    </w:p>
    <w:p>
      <w:pPr>
        <w:spacing w:after="120"/>
        <w:ind w:firstLine="567"/>
        <w:jc w:val="both"/>
      </w:pPr>
      <w:r>
        <w:rPr>
          <w:rFonts w:ascii="Arial" w:cs="Arial" w:eastAsia="Arial" w:hAnsi="Arial"/>
          <w:sz w:val="24"/>
          <w:szCs w:val="24"/>
        </w:rPr>
        <w:t xml:space="preserve">1) абзац второй пункта 1 </w:t>
      </w:r>
      <w:hyperlink w:history="1" r:id="rId8ivsvqkh-btdjlvgajlnd">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"электронное обращение - обращение заявителя, поступившее на официальный адрес электронной почты государственных органов, органов местного самоуправления и должностных лиц или посредством государственной системы электронных сообщений, рассматриваемое в порядке, установленном </w:t>
      </w:r>
      <w:hyperlink w:history="1" r:id="rIdtpej310uod_b8oix5wnut">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пункт 2 </w:t>
      </w:r>
      <w:hyperlink w:history="1" r:id="rIdaaariu2chi77n3hovfo4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обращений, которые должны рассматриваться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3) дополнить </w:t>
      </w:r>
      <w:hyperlink w:history="1" r:id="rIdulfghjwqf42gtmwjev310">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m7t8v1v-3r_vakkiwnxrc">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Сроки подачи обращений</w:t>
      </w:r>
    </w:p>
    <w:p>
      <w:pPr>
        <w:spacing w:after="120"/>
        <w:ind w:firstLine="567"/>
        <w:jc w:val="both"/>
      </w:pPr>
      <w:r>
        <w:rPr>
          <w:rFonts w:ascii="Arial" w:cs="Arial" w:eastAsia="Arial" w:hAnsi="Arial"/>
          <w:sz w:val="24"/>
          <w:szCs w:val="24"/>
        </w:rPr>
        <w:t xml:space="preserve">1. Подача заявлений и предложений сроком не ограничивается.</w:t>
      </w:r>
    </w:p>
    <w:p>
      <w:pPr>
        <w:spacing w:after="120"/>
        <w:ind w:firstLine="567"/>
        <w:jc w:val="both"/>
      </w:pPr>
      <w:r>
        <w:rPr>
          <w:rFonts w:ascii="Arial" w:cs="Arial" w:eastAsia="Arial" w:hAnsi="Arial"/>
          <w:sz w:val="24"/>
          <w:szCs w:val="24"/>
        </w:rPr>
        <w:t xml:space="preserve">2. Жалобы могут быть поданы заявителями в течение одного года со дня, когда они узнали или должны были узнать о нарушении их прав, свобод и (или) законных интересов.</w:t>
      </w:r>
    </w:p>
    <w:p>
      <w:pPr>
        <w:spacing w:after="120"/>
        <w:ind w:firstLine="567"/>
        <w:jc w:val="both"/>
      </w:pPr>
      <w:r>
        <w:rPr>
          <w:rFonts w:ascii="Arial" w:cs="Arial" w:eastAsia="Arial" w:hAnsi="Arial"/>
          <w:sz w:val="24"/>
          <w:szCs w:val="24"/>
        </w:rPr>
        <w:t xml:space="preserve">В случае если срок, указанный в абзаце первом настоящей части, пропущен по уважительной причине (тяжелое заболевание, инвалидность,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государственного органа, органа местного самоуправления и жалоба рассматривается в порядке, установленном настоящим Законом.";</w:t>
      </w:r>
    </w:p>
    <w:p>
      <w:pPr>
        <w:spacing w:after="120"/>
        <w:ind w:firstLine="567"/>
        <w:jc w:val="both"/>
      </w:pPr>
      <w:r>
        <w:rPr>
          <w:rFonts w:ascii="Arial" w:cs="Arial" w:eastAsia="Arial" w:hAnsi="Arial"/>
          <w:sz w:val="24"/>
          <w:szCs w:val="24"/>
        </w:rPr>
        <w:t xml:space="preserve">4) </w:t>
      </w:r>
      <w:hyperlink w:history="1" r:id="rIdwxujvhi7uoqjqjea8gngi">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частями 3-8 следующего содержания:</w:t>
      </w:r>
    </w:p>
    <w:p>
      <w:pPr>
        <w:spacing w:after="120"/>
        <w:ind w:firstLine="567"/>
        <w:jc w:val="both"/>
      </w:pPr>
      <w:r>
        <w:rPr>
          <w:rFonts w:ascii="Arial" w:cs="Arial" w:eastAsia="Arial" w:hAnsi="Arial"/>
          <w:sz w:val="24"/>
          <w:szCs w:val="24"/>
        </w:rPr>
        <w:t xml:space="preserve">"3. К обращениям, поданным через представителей обращающихся, прилагаются документы, подтверждающие их полномочия.</w:t>
      </w:r>
    </w:p>
    <w:p>
      <w:pPr>
        <w:spacing w:after="120"/>
        <w:ind w:firstLine="567"/>
        <w:jc w:val="both"/>
      </w:pPr>
      <w:r>
        <w:rPr>
          <w:rFonts w:ascii="Arial" w:cs="Arial" w:eastAsia="Arial" w:hAnsi="Arial"/>
          <w:sz w:val="24"/>
          <w:szCs w:val="24"/>
        </w:rPr>
        <w:t xml:space="preserve">4.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pPr>
        <w:spacing w:after="120"/>
        <w:ind w:firstLine="567"/>
        <w:jc w:val="both"/>
      </w:pPr>
      <w:r>
        <w:rPr>
          <w:rFonts w:ascii="Arial" w:cs="Arial" w:eastAsia="Arial" w:hAnsi="Arial"/>
          <w:sz w:val="24"/>
          <w:szCs w:val="24"/>
        </w:rPr>
        <w:t xml:space="preserve">5. Обращение должно адресоваться субъекту или должностному лицу, в компетенцию которого входит разрешение поставленных в обращении вопросов.</w:t>
      </w:r>
    </w:p>
    <w:p>
      <w:pPr>
        <w:spacing w:after="120"/>
        <w:ind w:firstLine="567"/>
        <w:jc w:val="both"/>
      </w:pPr>
      <w:r>
        <w:rPr>
          <w:rFonts w:ascii="Arial" w:cs="Arial" w:eastAsia="Arial" w:hAnsi="Arial"/>
          <w:sz w:val="24"/>
          <w:szCs w:val="24"/>
        </w:rPr>
        <w:t xml:space="preserve">6. Обращение должно непосредственно затрагивать права и интересы обращающегося либо относиться к сфере публичных интересов.</w:t>
      </w:r>
    </w:p>
    <w:p>
      <w:pPr>
        <w:spacing w:after="120"/>
        <w:ind w:firstLine="567"/>
        <w:jc w:val="both"/>
      </w:pPr>
      <w:r>
        <w:rPr>
          <w:rFonts w:ascii="Arial" w:cs="Arial" w:eastAsia="Arial" w:hAnsi="Arial"/>
          <w:sz w:val="24"/>
          <w:szCs w:val="24"/>
        </w:rPr>
        <w:t xml:space="preserve">7. При подаче жалобы указываются наименование субъекта или должность, фамилия и инициалы должностного лица, чьи действия обжалуются, мотивы обращения и требования.</w:t>
      </w:r>
    </w:p>
    <w:p>
      <w:pPr>
        <w:spacing w:after="120"/>
        <w:ind w:firstLine="567"/>
        <w:jc w:val="both"/>
      </w:pPr>
      <w:r>
        <w:rPr>
          <w:rFonts w:ascii="Arial" w:cs="Arial" w:eastAsia="Arial" w:hAnsi="Arial"/>
          <w:sz w:val="24"/>
          <w:szCs w:val="24"/>
        </w:rPr>
        <w:t xml:space="preserve">8. Повторные обращения должны в обязательном порядке содержать новые обстоятельства, ранее неизвестные обращающемуся.";</w:t>
      </w:r>
    </w:p>
    <w:p>
      <w:pPr>
        <w:spacing w:after="120"/>
        <w:ind w:firstLine="567"/>
        <w:jc w:val="both"/>
      </w:pPr>
      <w:r>
        <w:rPr>
          <w:rFonts w:ascii="Arial" w:cs="Arial" w:eastAsia="Arial" w:hAnsi="Arial"/>
          <w:sz w:val="24"/>
          <w:szCs w:val="24"/>
        </w:rPr>
        <w:t xml:space="preserve">5) в </w:t>
      </w:r>
      <w:hyperlink w:history="1" r:id="rIdhurcgxvjjcmufpmifka9b">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Прием электронных обращений граждан осуществляется посредством государственной системы электронных сообщений, иной информационной системы, официального сайта и официального адреса электронной почты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б) предложение второе части 4 исключить;</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Электронные обращения, поступившие посредством государственной системы электронных сообщений, иной информационной системы, официального сайта и официального адреса электронной почты подлежат рассмотрению в установленном порядке. Электронный ответ на обращения формируется в системе электронного документооборота, подписывается электронной подписью и направляется гражданину на указанный в обращении электронный адрес посредством официальной электронной почты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Электронные обращения, поступившие посредством государственной системы электронных сообщений, регистрируются в автоматическом режиме и рассматриваются в установленном порядке и предоставляется ответ государственными органами, органами местного самоуправления и должностными лицами посредством системы электронного документооборота, размещенного на портале.";</w:t>
      </w:r>
    </w:p>
    <w:p>
      <w:pPr>
        <w:spacing w:after="120"/>
        <w:ind w:firstLine="567"/>
        <w:jc w:val="both"/>
      </w:pPr>
      <w:r>
        <w:rPr>
          <w:rFonts w:ascii="Arial" w:cs="Arial" w:eastAsia="Arial" w:hAnsi="Arial"/>
          <w:sz w:val="24"/>
          <w:szCs w:val="24"/>
        </w:rPr>
        <w:t xml:space="preserve">г) часть 7 дополнить пунктом 3 следующего содержания:</w:t>
      </w:r>
    </w:p>
    <w:p>
      <w:pPr>
        <w:spacing w:after="120"/>
        <w:ind w:firstLine="567"/>
        <w:jc w:val="both"/>
      </w:pPr>
      <w:r>
        <w:rPr>
          <w:rFonts w:ascii="Arial" w:cs="Arial" w:eastAsia="Arial" w:hAnsi="Arial"/>
          <w:sz w:val="24"/>
          <w:szCs w:val="24"/>
        </w:rPr>
        <w:t xml:space="preserve">"3) не соответствующие требованиям, указанным в частях 2-7 </w:t>
      </w:r>
      <w:hyperlink w:history="1" r:id="rIdlgtp1l-vw4a1mglhsffgm">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6) </w:t>
      </w:r>
      <w:hyperlink w:history="1" r:id="rIdscnr-aywv3drmgnr05vnk">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mvn4le3omybujcfb_1xv4">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Повторные обращения</w:t>
      </w:r>
    </w:p>
    <w:p>
      <w:pPr>
        <w:spacing w:after="120"/>
        <w:ind w:firstLine="567"/>
        <w:jc w:val="both"/>
      </w:pPr>
      <w:r>
        <w:rPr>
          <w:rFonts w:ascii="Arial" w:cs="Arial" w:eastAsia="Arial" w:hAnsi="Arial"/>
          <w:sz w:val="24"/>
          <w:szCs w:val="24"/>
        </w:rPr>
        <w:t xml:space="preserve">1. Повторные обращения (устные, письменные или электронные), в которых отсутствуют вновь открывшиеся обстоятельства (т.е. обстоятельства, которые не были и не могли быть известны заявителю на момент подачи обращения), рассмотрению не подлежат. Вновь открывшиеся обстоятельства подлежат рассмотрению в порядке, предусмотренном настоящим Законом.</w:t>
      </w:r>
    </w:p>
    <w:p>
      <w:pPr>
        <w:spacing w:after="120"/>
        <w:ind w:firstLine="567"/>
        <w:jc w:val="both"/>
      </w:pPr>
      <w:r>
        <w:rPr>
          <w:rFonts w:ascii="Arial" w:cs="Arial" w:eastAsia="Arial" w:hAnsi="Arial"/>
          <w:sz w:val="24"/>
          <w:szCs w:val="24"/>
        </w:rPr>
        <w:t xml:space="preserve">2. В случае если гражданин не удовлетворен решением, полученным по результатам рассмотрения обращения, он имеет право на обжалование решения в судебном порядке.</w:t>
      </w:r>
    </w:p>
    <w:p>
      <w:pPr>
        <w:spacing w:after="120"/>
        <w:ind w:firstLine="567"/>
        <w:jc w:val="both"/>
      </w:pPr>
      <w:r>
        <w:rPr>
          <w:rFonts w:ascii="Arial" w:cs="Arial" w:eastAsia="Arial" w:hAnsi="Arial"/>
          <w:sz w:val="24"/>
          <w:szCs w:val="24"/>
        </w:rPr>
        <w:t xml:space="preserve">3. Повторное обращение, при первичном рассмотрении которого было выяснено и документально подтверждено, что обращающийся страдает психическим заболеванием, рассмотрению не подлежит.</w:t>
      </w:r>
    </w:p>
    <w:p>
      <w:pPr>
        <w:spacing w:after="120"/>
        <w:ind w:firstLine="567"/>
        <w:jc w:val="both"/>
      </w:pPr>
      <w:r>
        <w:rPr>
          <w:rFonts w:ascii="Arial" w:cs="Arial" w:eastAsia="Arial" w:hAnsi="Arial"/>
          <w:sz w:val="24"/>
          <w:szCs w:val="24"/>
        </w:rPr>
        <w:t xml:space="preserve">4. Повторное обращение должно соответствовать требованиям, указанным в </w:t>
      </w:r>
      <w:hyperlink w:history="1" r:id="rId3qwcktgv0dqkv9vwv-mtc">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в </w:t>
      </w:r>
      <w:hyperlink w:history="1" r:id="rIdracjkc-ntsfh1ngsnvyay">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Руководитель органа государственной власти или органа местного самоуправления или должностное лицо, в компетенцию которых относится рассмотрение обращения, имеют право:</w:t>
      </w:r>
    </w:p>
    <w:p>
      <w:pPr>
        <w:spacing w:after="120"/>
        <w:ind w:firstLine="567"/>
        <w:jc w:val="both"/>
      </w:pPr>
      <w:r>
        <w:rPr>
          <w:rFonts w:ascii="Arial" w:cs="Arial" w:eastAsia="Arial" w:hAnsi="Arial"/>
          <w:sz w:val="24"/>
          <w:szCs w:val="24"/>
        </w:rPr>
        <w:t xml:space="preserve">1) при направлении письменного (электронного) обращения на рассмотрение в другой государственный орган, орган местного самоуправления или иному должностному лицу в случае необходимости запрашивать в указанных органах или у должностного лица документы и материалы о результатах рассмотрения письменного (электронного) обращения;</w:t>
      </w:r>
    </w:p>
    <w:p>
      <w:pPr>
        <w:spacing w:after="120"/>
        <w:ind w:firstLine="567"/>
        <w:jc w:val="both"/>
      </w:pPr>
      <w:r>
        <w:rPr>
          <w:rFonts w:ascii="Arial" w:cs="Arial" w:eastAsia="Arial" w:hAnsi="Arial"/>
          <w:sz w:val="24"/>
          <w:szCs w:val="24"/>
        </w:rPr>
        <w:t xml:space="preserve">2) информировать население, трудовые коллективы и средства массовой информации о состоянии работы с обращениями граждан;</w:t>
      </w:r>
    </w:p>
    <w:p>
      <w:pPr>
        <w:spacing w:after="120"/>
        <w:ind w:firstLine="567"/>
        <w:jc w:val="both"/>
      </w:pPr>
      <w:r>
        <w:rPr>
          <w:rFonts w:ascii="Arial" w:cs="Arial" w:eastAsia="Arial" w:hAnsi="Arial"/>
          <w:sz w:val="24"/>
          <w:szCs w:val="24"/>
        </w:rPr>
        <w:t xml:space="preserve">3) оставить обращение без рассмотрения по существу поставленных в нем вопросов и сообщить об этом гражданину, направившему обращение, в случаях, если:</w:t>
      </w:r>
    </w:p>
    <w:p>
      <w:pPr>
        <w:spacing w:after="120"/>
        <w:ind w:firstLine="567"/>
        <w:jc w:val="both"/>
      </w:pPr>
      <w:r>
        <w:rPr>
          <w:rFonts w:ascii="Arial" w:cs="Arial" w:eastAsia="Arial" w:hAnsi="Arial"/>
          <w:sz w:val="24"/>
          <w:szCs w:val="24"/>
        </w:rPr>
        <w:t xml:space="preserve">- обращение подлежит рассмотрению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w:t>
      </w:r>
    </w:p>
    <w:p>
      <w:pPr>
        <w:spacing w:after="120"/>
        <w:ind w:firstLine="567"/>
        <w:jc w:val="both"/>
      </w:pPr>
      <w:r>
        <w:rPr>
          <w:rFonts w:ascii="Arial" w:cs="Arial" w:eastAsia="Arial" w:hAnsi="Arial"/>
          <w:sz w:val="24"/>
          <w:szCs w:val="24"/>
        </w:rPr>
        <w:t xml:space="preserve">- обращение подлежит рассмотрению в порядке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 в письменном (электронном)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pPr>
        <w:spacing w:after="120"/>
        <w:ind w:firstLine="567"/>
        <w:jc w:val="both"/>
      </w:pPr>
      <w:r>
        <w:rPr>
          <w:rFonts w:ascii="Arial" w:cs="Arial" w:eastAsia="Arial" w:hAnsi="Arial"/>
          <w:sz w:val="24"/>
          <w:szCs w:val="24"/>
        </w:rPr>
        <w:t xml:space="preserve">- в письменном (электронном) обращении не изложена суть вопроса;</w:t>
      </w:r>
    </w:p>
    <w:p>
      <w:pPr>
        <w:spacing w:after="120"/>
        <w:ind w:firstLine="567"/>
        <w:jc w:val="both"/>
      </w:pPr>
      <w:r>
        <w:rPr>
          <w:rFonts w:ascii="Arial" w:cs="Arial" w:eastAsia="Arial" w:hAnsi="Arial"/>
          <w:sz w:val="24"/>
          <w:szCs w:val="24"/>
        </w:rPr>
        <w:t xml:space="preserve">- письменное (электронное) обращение не соответствует требованиям, предъявляемым к письменному обращению, указанным в статьях </w:t>
      </w:r>
      <w:hyperlink w:history="1" r:id="rIduafr5l4wiqmfiou5zvhxl">
        <w:r>
          <w:rPr>
            <w:rFonts w:ascii="Arial" w:cs="Arial" w:eastAsia="Arial" w:hAnsi="Arial"/>
            <w:color w:val="1D4ED8"/>
            <w:sz w:val="24"/>
            <w:szCs w:val="24"/>
            <w:u w:val="single"/>
          </w:rPr>
          <w:t xml:space="preserve">6 </w:t>
        </w:r>
      </w:hyperlink>
      <w:r>
        <w:rPr>
          <w:rFonts w:ascii="Arial" w:cs="Arial" w:eastAsia="Arial" w:hAnsi="Arial"/>
          <w:sz w:val="24"/>
          <w:szCs w:val="24"/>
        </w:rPr>
        <w:t xml:space="preserve">и </w:t>
      </w:r>
      <w:hyperlink w:history="1" r:id="rIdcpp5-efa6tuncdw3sbnnd">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прекратить рассмотрение обращения:</w:t>
      </w:r>
    </w:p>
    <w:p>
      <w:pPr>
        <w:spacing w:after="120"/>
        <w:ind w:firstLine="567"/>
        <w:jc w:val="both"/>
      </w:pPr>
      <w:r>
        <w:rPr>
          <w:rFonts w:ascii="Arial" w:cs="Arial" w:eastAsia="Arial" w:hAnsi="Arial"/>
          <w:sz w:val="24"/>
          <w:szCs w:val="24"/>
        </w:rPr>
        <w:t xml:space="preserve">- если обратившийся отозвал в установленном порядке свое обращение или ходатайствовал о прекращении его рассмотрения;</w:t>
      </w:r>
    </w:p>
    <w:p>
      <w:pPr>
        <w:spacing w:after="120"/>
        <w:ind w:firstLine="567"/>
        <w:jc w:val="both"/>
      </w:pPr>
      <w:r>
        <w:rPr>
          <w:rFonts w:ascii="Arial" w:cs="Arial" w:eastAsia="Arial" w:hAnsi="Arial"/>
          <w:sz w:val="24"/>
          <w:szCs w:val="24"/>
        </w:rPr>
        <w:t xml:space="preserve">- при отсутствии возможности рассмотрения обращения без участия обращающегося, которого невозможно вызвать в связи с несвоевременным информированием об изменениях места жительства, местонахождения (почтового адреса), адреса электронной почты или иных реквизитов;</w:t>
      </w:r>
    </w:p>
    <w:p>
      <w:pPr>
        <w:spacing w:after="120"/>
        <w:ind w:firstLine="567"/>
        <w:jc w:val="both"/>
      </w:pPr>
      <w:r>
        <w:rPr>
          <w:rFonts w:ascii="Arial" w:cs="Arial" w:eastAsia="Arial" w:hAnsi="Arial"/>
          <w:sz w:val="24"/>
          <w:szCs w:val="24"/>
        </w:rPr>
        <w:t xml:space="preserve">- если в повторных обращениях не приводятся вновь открывшиеся обстоятельства;</w:t>
      </w:r>
    </w:p>
    <w:p>
      <w:pPr>
        <w:spacing w:after="120"/>
        <w:ind w:firstLine="567"/>
        <w:jc w:val="both"/>
      </w:pPr>
      <w:r>
        <w:rPr>
          <w:rFonts w:ascii="Arial" w:cs="Arial" w:eastAsia="Arial" w:hAnsi="Arial"/>
          <w:sz w:val="24"/>
          <w:szCs w:val="24"/>
        </w:rPr>
        <w:t xml:space="preserve">- в случае неявки обращающегося, вызванного государственным органом, органом местного самоуправления или их должностным лицом, в связи с невозможностью рассмотрения обращения без его участия.</w:t>
      </w:r>
    </w:p>
    <w:p>
      <w:pPr>
        <w:spacing w:after="120"/>
        <w:ind w:firstLine="567"/>
        <w:jc w:val="both"/>
      </w:pPr>
      <w:r>
        <w:rPr>
          <w:rFonts w:ascii="Arial" w:cs="Arial" w:eastAsia="Arial" w:hAnsi="Arial"/>
          <w:sz w:val="24"/>
          <w:szCs w:val="24"/>
        </w:rPr>
        <w:t xml:space="preserve">В случае поступления повторного обращения от обращающегося, переписка с которым прекращена, либо при неявке вызываемого физического лица или представителя юридического лица рассмотрение такого обращения прекращается без уведомления об этом обращающегося.";</w:t>
      </w:r>
    </w:p>
    <w:p>
      <w:pPr>
        <w:spacing w:after="120"/>
        <w:ind w:firstLine="567"/>
        <w:jc w:val="both"/>
      </w:pPr>
      <w:r>
        <w:rPr>
          <w:rFonts w:ascii="Arial" w:cs="Arial" w:eastAsia="Arial" w:hAnsi="Arial"/>
          <w:sz w:val="24"/>
          <w:szCs w:val="24"/>
        </w:rPr>
        <w:t xml:space="preserve">б) дополнить частями 3 и 4 следующего содержания:</w:t>
      </w:r>
    </w:p>
    <w:p>
      <w:pPr>
        <w:spacing w:after="120"/>
        <w:ind w:firstLine="567"/>
        <w:jc w:val="both"/>
      </w:pPr>
      <w:r>
        <w:rPr>
          <w:rFonts w:ascii="Arial" w:cs="Arial" w:eastAsia="Arial" w:hAnsi="Arial"/>
          <w:sz w:val="24"/>
          <w:szCs w:val="24"/>
        </w:rPr>
        <w:t xml:space="preserve">"3. Если поступающие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органа местного самоуправления могут размещаться на официальном сайте организации, о чем направляется соответствующее уведомление заявителям.</w:t>
      </w:r>
    </w:p>
    <w:p>
      <w:pPr>
        <w:spacing w:after="120"/>
        <w:ind w:firstLine="567"/>
        <w:jc w:val="both"/>
      </w:pPr>
      <w:r>
        <w:rPr>
          <w:rFonts w:ascii="Arial" w:cs="Arial" w:eastAsia="Arial" w:hAnsi="Arial"/>
          <w:sz w:val="24"/>
          <w:szCs w:val="24"/>
        </w:rPr>
        <w:t xml:space="preserve">4. После размещения на официальном сайте организации последующие обращения аналогичного содержания не подлежат рассмотрению и ответы (уведомления) на них заявителям не направляются.";</w:t>
      </w:r>
    </w:p>
    <w:p>
      <w:pPr>
        <w:spacing w:after="120"/>
        <w:ind w:firstLine="567"/>
        <w:jc w:val="both"/>
      </w:pPr>
      <w:r>
        <w:rPr>
          <w:rFonts w:ascii="Arial" w:cs="Arial" w:eastAsia="Arial" w:hAnsi="Arial"/>
          <w:sz w:val="24"/>
          <w:szCs w:val="24"/>
        </w:rPr>
        <w:t xml:space="preserve">8) в абзаце первом части 1 </w:t>
      </w:r>
      <w:hyperlink w:history="1" r:id="rIdsdvcn92ictb8wxsk5h0es">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"обращения" заменить словами "рассмотрения обращения";</w:t>
      </w:r>
    </w:p>
    <w:p>
      <w:pPr>
        <w:spacing w:after="120"/>
        <w:ind w:firstLine="567"/>
        <w:jc w:val="both"/>
      </w:pPr>
      <w:r>
        <w:rPr>
          <w:rFonts w:ascii="Arial" w:cs="Arial" w:eastAsia="Arial" w:hAnsi="Arial"/>
          <w:sz w:val="24"/>
          <w:szCs w:val="24"/>
        </w:rPr>
        <w:t xml:space="preserve">9) часть 2 </w:t>
      </w:r>
      <w:hyperlink w:history="1" r:id="rIdalke0i7enloz3gvsj_tm6">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Подача гражданином обращения, в котором содержатся материалы клеветнического характера, выражения, оскорбляющие честь и достоинство и порочащие деловую репутацию других лиц, влечет за собой ответственность, предусмотренную </w:t>
      </w:r>
      <w:hyperlink w:history="1" r:id="rIdgywbsbgqkxjrimprodueb">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либо ответственность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10) в абзаце первом </w:t>
      </w:r>
      <w:hyperlink w:history="1" r:id="rIdkzs1iv8byvpxccrl0mtt1">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"статс-секретаря или" исключить.</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июля 2025 года № 55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tlk-omke0cerla4vwoo">
      <w:r>
        <w:rPr>
          <w:rFonts w:ascii="Arial" w:cs="Arial" w:eastAsia="Arial" w:hAnsi="Arial"/>
          <w:color w:val="132D3F"/>
          <w:sz w:val="16"/>
          <w:szCs w:val="16"/>
          <w:u w:val="single"/>
        </w:rPr>
        <w:t xml:space="preserve">dalil.kg/document/230030253</w:t>
      </w:r>
    </w:hyperlink>
  </w:p>
  <w:p>
    <w:pPr>
      <w:spacing w:after="0" w:before="40"/>
      <w:jc w:val="center"/>
    </w:pPr>
    <w:hyperlink w:history="1" r:id="rId0c9le3yx3qx0toids6f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eszy4l4ljyx9t2-7y7_" Type="http://schemas.openxmlformats.org/officeDocument/2006/relationships/hyperlink" Target="https://dalil.kg/document/112306" TargetMode="External"/><Relationship Id="rIdcb6dkxhujq95t-8ymjpqa" Type="http://schemas.openxmlformats.org/officeDocument/2006/relationships/hyperlink" Target="https://dalil.kg/document/112306#st_435-1" TargetMode="External"/><Relationship Id="rIdk3rv_1mtsezpxrzubap3l" Type="http://schemas.openxmlformats.org/officeDocument/2006/relationships/hyperlink" Target="https://dalil.kg/document/112306#st_435-1" TargetMode="External"/><Relationship Id="rId6axurmvaok3wrbt2flgrh" Type="http://schemas.openxmlformats.org/officeDocument/2006/relationships/hyperlink" Target="https://dalil.kg/document/202100" TargetMode="External"/><Relationship Id="rId8ivsvqkh-btdjlvgajlnd" Type="http://schemas.openxmlformats.org/officeDocument/2006/relationships/hyperlink" Target="https://dalil.kg/document/202100#st_1" TargetMode="External"/><Relationship Id="rIdtpej310uod_b8oix5wnut" Type="http://schemas.openxmlformats.org/officeDocument/2006/relationships/hyperlink" Target="https://dalil.kg/document/202100#st_6-1" TargetMode="External"/><Relationship Id="rIdaaariu2chi77n3hovfo4j" Type="http://schemas.openxmlformats.org/officeDocument/2006/relationships/hyperlink" Target="https://dalil.kg/document/202100#st_5" TargetMode="External"/><Relationship Id="rIdulfghjwqf42gtmwjev310" Type="http://schemas.openxmlformats.org/officeDocument/2006/relationships/hyperlink" Target="https://dalil.kg/document/202100#st_5-1" TargetMode="External"/><Relationship Id="rIdm7t8v1v-3r_vakkiwnxrc" Type="http://schemas.openxmlformats.org/officeDocument/2006/relationships/hyperlink" Target="https://dalil.kg/document/202100#st_5-1" TargetMode="External"/><Relationship Id="rIdwxujvhi7uoqjqjea8gngi" Type="http://schemas.openxmlformats.org/officeDocument/2006/relationships/hyperlink" Target="https://dalil.kg/document/202100#st_6" TargetMode="External"/><Relationship Id="rIdhurcgxvjjcmufpmifka9b" Type="http://schemas.openxmlformats.org/officeDocument/2006/relationships/hyperlink" Target="https://dalil.kg/document/202100#st_6-1" TargetMode="External"/><Relationship Id="rIdlgtp1l-vw4a1mglhsffgm" Type="http://schemas.openxmlformats.org/officeDocument/2006/relationships/hyperlink" Target="https://dalil.kg/document/202100#st_6" TargetMode="External"/><Relationship Id="rIdscnr-aywv3drmgnr05vnk" Type="http://schemas.openxmlformats.org/officeDocument/2006/relationships/hyperlink" Target="https://dalil.kg/document/202100#st_10" TargetMode="External"/><Relationship Id="rIdmvn4le3omybujcfb_1xv4" Type="http://schemas.openxmlformats.org/officeDocument/2006/relationships/hyperlink" Target="https://dalil.kg/document/202100#st_10" TargetMode="External"/><Relationship Id="rId3qwcktgv0dqkv9vwv-mtc" Type="http://schemas.openxmlformats.org/officeDocument/2006/relationships/hyperlink" Target="https://dalil.kg/document/202100#st_6" TargetMode="External"/><Relationship Id="rIdracjkc-ntsfh1ngsnvyay" Type="http://schemas.openxmlformats.org/officeDocument/2006/relationships/hyperlink" Target="https://dalil.kg/document/202100#st_12" TargetMode="External"/><Relationship Id="rIduafr5l4wiqmfiou5zvhxl" Type="http://schemas.openxmlformats.org/officeDocument/2006/relationships/hyperlink" Target="https://dalil.kg/document/202100#st_6" TargetMode="External"/><Relationship Id="rIdcpp5-efa6tuncdw3sbnnd" Type="http://schemas.openxmlformats.org/officeDocument/2006/relationships/hyperlink" Target="https://dalil.kg/document/202100#st_6-1" TargetMode="External"/><Relationship Id="rIdsdvcn92ictb8wxsk5h0es" Type="http://schemas.openxmlformats.org/officeDocument/2006/relationships/hyperlink" Target="https://dalil.kg/document/202100#st_13" TargetMode="External"/><Relationship Id="rIdalke0i7enloz3gvsj_tm6" Type="http://schemas.openxmlformats.org/officeDocument/2006/relationships/hyperlink" Target="https://dalil.kg/document/202100#st_14" TargetMode="External"/><Relationship Id="rIdgywbsbgqkxjrimprodueb" Type="http://schemas.openxmlformats.org/officeDocument/2006/relationships/hyperlink" Target="https://dalil.kg/document/112306" TargetMode="External"/><Relationship Id="rIdkzs1iv8byvpxccrl0mtt1" Type="http://schemas.openxmlformats.org/officeDocument/2006/relationships/hyperlink" Target="https://dalil.kg/document/202100#st_16"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tlk-omke0cerla4vwoo" Type="http://schemas.openxmlformats.org/officeDocument/2006/relationships/hyperlink" Target="https://dalil.kg/document/230030253" TargetMode="External"/><Relationship Id="rId0c9le3yx3qx0toids6f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2026-09-24T10:10:11.497Z</dcterms:created>
  <dcterms:modified xsi:type="dcterms:W3CDTF">2026-09-24T10:10:11.497Z</dcterms:modified>
</cp:coreProperties>
</file>

<file path=docProps/custom.xml><?xml version="1.0" encoding="utf-8"?>
<Properties xmlns="http://schemas.openxmlformats.org/officeDocument/2006/custom-properties" xmlns:vt="http://schemas.openxmlformats.org/officeDocument/2006/docPropsVTypes"/>
</file>