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2025 года № 503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административных процедур в сфере управления государственным имуществом, в соответствии со статьями </w:t>
      </w:r>
      <w:hyperlink w:history="1" r:id="rIdwzgpj8f1hx7c7y-yfj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ipxtdsacpvdjkyef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_ja2fhknamxrd5ort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 условиях передачи государственного имущества в управление с последующим выкупом» от 12 сентября 2002 года № 624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hoc_9orjoqredwbeng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 могут быть представлены в цифровом формате посредством электронной почты или иных средств связи, в том числе при возможности получения таких документов от других государственных органов и органов местного самоуправления, посредством системы электронного взаимодействия «Тундук».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1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заверенные в установленном порядке копии учредительных документов;»;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«нотариально заверенная»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«нотариально заверенная»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7eh4grxpl9ii-bafs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приватизацию государственной собственности» от 26 марта 2003 года № 168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p-hcbgx2vkfk2s0791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19 слова «нотариально заверенную»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Документы могут быть представлены в цифровом формате посредством электронной почты или иных средств связи, в том числе при возможности получения таких документов от других государственных органов и органов местного самоуправления через систему электронного взаимодействия «Тундук».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к вышеуказанному Положению изложить в редакции согласно </w:t>
      </w:r>
      <w:hyperlink w:history="1" r:id="rIdtn3vwwhzvc90nqds9qb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d21olxyzpm4wxm_hug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приватизацию государственного имущества методами продажи на аукционе и аренды с последующим выкупом» от 13 августа 2005 года № 370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g5p6yys0qnrcvpbg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 могут быть представлены в цифровом формате посредством электронной почты или иных средств связи, в том числе при возможности получения таких документов от других государственных органов и органов местного самоуправления через систему электронного взаимодействия «Тундук».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1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заверенные в установленном порядке копии учредительных документов;»;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«нотариально заверенная»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kwxgn7ri4iwvpsfq2v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wph9fz02ueilqwqwh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Для участия в аукционе заявитель в установленный в информационном сообщении срок представляет в уполномоченный государственный орган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участие в аукционе на право заключения договора аренды земельного участка, находящегося в государственной собственности, по форме согласно приложению 2 к настоящему Положению;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 об оплате гарантийного взноса;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градостроительно-архитектурная документация, в случае предоставления земельного участка для проектирования, строительства зданий, сооружений, направленных на развитие железнодорожной отрасли, и их эксплуатации;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физических лиц – копия паспорта гражданина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юридических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устава и учредительного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 на имя представителя, которая уполномочивает его выступать от имени юридического лица и совершать соответствующие сделки;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если заявление подано руководителем (единоличным исполнительным органом) юридического лица, требуется документ, предоставляющий право руководителю на заключение договора аренды, а также документ, удостоверяющий его должностное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если юридическое лицо управляется выборным коллегиальным исполнительным органом, и требуется документ о согласии данного органа на заключение договора аренды – надлежащее решение, подтверждающее согласие органа на заключение договора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документа, удостоверяющего личность представителя (оригинал предъявляется лично при регистрации для участия в аукционе);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 уполномоченного налогового органа об отсутствии задолженности за текущий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могут быть представлены в цифровом формате либо, при возможности получения таких документов от других государственных органов и органов местного самоуправления, посредством системы электронного взаимодействия «Тундук», а также через единую информационную систему нотариата. Порядок предоставления цифровых и оцифрованных документов определяется уполномоченным государственным органом.».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22 августа 2025 года № 63 (3719)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приватизации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методом продажи на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</w:t>
      </w:r>
      <w:r>
        <w:rPr>
          <w:rFonts w:ascii="Arial" w:cs="Arial" w:eastAsia="Arial" w:hAnsi="Arial"/>
          <w:sz w:val="24"/>
          <w:szCs w:val="24"/>
        </w:rPr>
        <w:t xml:space="preserve">по подготовке и</w:t>
      </w:r>
      <w:r>
        <w:rPr>
          <w:rFonts w:ascii="Arial" w:cs="Arial" w:eastAsia="Arial" w:hAnsi="Arial"/>
          <w:sz w:val="24"/>
          <w:szCs w:val="24"/>
        </w:rPr>
        <w:t xml:space="preserve">проведению</w:t>
      </w:r>
      <w:r>
        <w:rPr>
          <w:rFonts w:ascii="Arial" w:cs="Arial" w:eastAsia="Arial" w:hAnsi="Arial"/>
          <w:sz w:val="24"/>
          <w:szCs w:val="24"/>
        </w:rPr>
        <w:t xml:space="preserve">коммерческого или</w:t>
      </w:r>
      <w:r>
        <w:rPr>
          <w:rFonts w:ascii="Arial" w:cs="Arial" w:eastAsia="Arial" w:hAnsi="Arial"/>
          <w:sz w:val="24"/>
          <w:szCs w:val="24"/>
        </w:rPr>
        <w:t xml:space="preserve">инвестиционного</w:t>
      </w:r>
      <w:r>
        <w:rPr>
          <w:rFonts w:ascii="Arial" w:cs="Arial" w:eastAsia="Arial" w:hAnsi="Arial"/>
          <w:sz w:val="24"/>
          <w:szCs w:val="24"/>
        </w:rPr>
        <w:t xml:space="preserve">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«___» ______ 20___ г.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заявка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участие в коммерческом или инвестиционном конкурсе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 руководителя)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телефон, р/с МФО)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(паспортные данные, место прописки)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далее Претендент, в лице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на основании 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об участии в коммерческом или инвестиционном конкурсе по продаже находящихся в государственной собственности объектов приватизации: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акций в количестве ________ штук, что составляет _____ % государственной доли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капитала АО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акционерного общества, его юридический адрес)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иного имущества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имущества, его основные характеристики и местонахождение)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условия конкурса, содержащиеся в информационном сообщении о проведении конкурса по продаже объектов приватизации, а также порядок проведения конкурса, установленный Положением об условиях и порядке приватизации государственного имущества методом продажи на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 себя определенные условиями конкурса обязательства в отношении объекта приватизации;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победителем конкурса заключить с Продавцом договор купли-продажи в срок не позднее 10 дней с даты утверждения протокола об итогах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уплатить Продавцу стоимость имущества, установленную по результатам конкурса, в сроки, определяемые договором купли-продажи;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уплатить Продавцу необходимые платежи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заверенные в установленном порядке копии учредительных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налоговой инспекции, подтверждающая отсутствие у претендента просроченной задолженности по налоговым платежам в бюджеты всех уровней по состоянию на последний квартал, предшествующий дате подачи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о государственной регистрации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государственного органа по рынку ценных бумаг о регистрации ценных бумаг (для акционерных обществ);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 – паспорт (предъявляется лично претендентом при подаче заявки).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Претендента (его уполномоченного представителя)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3r0gx1wjnrjyehjuv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dalil.kg/document/230030337</w:t>
      </w:r>
    </w:hyperlink>
  </w:p>
  <w:p>
    <w:pPr>
      <w:spacing w:after="0" w:before="40"/>
      <w:jc w:val="center"/>
    </w:pPr>
    <w:hyperlink w:history="1" r:id="rIdlei8ykm2amminqqcm6i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gpj8f1hx7c7y-yfjqwu" Type="http://schemas.openxmlformats.org/officeDocument/2006/relationships/hyperlink" Target="https://dalil.kg/document/112301#st_13" TargetMode="External"/><Relationship Id="rIdjhipxtdsacpvdjkyefbfc" Type="http://schemas.openxmlformats.org/officeDocument/2006/relationships/hyperlink" Target="https://dalil.kg/document/112301#st_17" TargetMode="External"/><Relationship Id="rId3_ja2fhknamxrd5ortadz" Type="http://schemas.openxmlformats.org/officeDocument/2006/relationships/hyperlink" Target="https://dalil.kg/document/53821" TargetMode="External"/><Relationship Id="rIdghoc_9orjoqredwbengi3" Type="http://schemas.openxmlformats.org/officeDocument/2006/relationships/hyperlink" Target="https://dalil.kg/document/53824" TargetMode="External"/><Relationship Id="rIdg7eh4grxpl9ii-bafsats" Type="http://schemas.openxmlformats.org/officeDocument/2006/relationships/hyperlink" Target="https://dalil.kg/document/54307" TargetMode="External"/><Relationship Id="rIdcp-hcbgx2vkfk2s0791g4" Type="http://schemas.openxmlformats.org/officeDocument/2006/relationships/hyperlink" Target="https://dalil.kg/document/46793" TargetMode="External"/><Relationship Id="rIdtn3vwwhzvc90nqds9qb-r" Type="http://schemas.openxmlformats.org/officeDocument/2006/relationships/hyperlink" Target="https://dalil.kg/document/230030337#pr" TargetMode="External"/><Relationship Id="rIdd21olxyzpm4wxm_hugknj" Type="http://schemas.openxmlformats.org/officeDocument/2006/relationships/hyperlink" Target="https://dalil.kg/document/56515" TargetMode="External"/><Relationship Id="rIdktg5p6yys0qnrcvpbgepd" Type="http://schemas.openxmlformats.org/officeDocument/2006/relationships/hyperlink" Target="https://dalil.kg/document/56524" TargetMode="External"/><Relationship Id="rIdkkwxgn7ri4iwvpsfq2vom" Type="http://schemas.openxmlformats.org/officeDocument/2006/relationships/hyperlink" Target="https://dalil.kg/document/157146" TargetMode="External"/><Relationship Id="rIdxwph9fz02ueilqwqwh8qh" Type="http://schemas.openxmlformats.org/officeDocument/2006/relationships/hyperlink" Target="https://dalil.kg/document/15714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3r0gx1wjnrjyehjuvfb" Type="http://schemas.openxmlformats.org/officeDocument/2006/relationships/hyperlink" Target="https://dalil.kg/document/230030337" TargetMode="External"/><Relationship Id="rIdlei8ykm2amminqqcm6i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2026-09-24T04:57:55.193Z</dcterms:created>
  <dcterms:modified xsi:type="dcterms:W3CDTF">2026-09-24T04:57:55.193Z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