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hh-gjjoytregkphhswf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транспорта и коммуникаций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            “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августа</w:t>
      </w:r>
      <w:r>
        <w:rPr>
          <w:rFonts w:ascii="Arial" w:cs="Arial" w:eastAsia="Arial" w:hAnsi="Arial"/>
          <w:sz w:val="24"/>
          <w:szCs w:val="24"/>
        </w:rPr>
        <w:t xml:space="preserve"> 2025г. № </w:t>
      </w:r>
      <w:r>
        <w:rPr>
          <w:rFonts w:ascii="Arial" w:cs="Arial" w:eastAsia="Arial" w:hAnsi="Arial"/>
          <w:sz w:val="24"/>
          <w:szCs w:val="24"/>
        </w:rPr>
        <w:t xml:space="preserve">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О ТРЕБОВАНИЯХ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СТАНЦИОННЫМ СООРУЖЕНИЯМ: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АВТОВОКЗАЛАМ, АВТОСТАНЦИЯМ, АВТОПАВИЛЬОНАМ И АВТОКАССАМ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ОБЛАСТЬ ПРИМЕНЕНИЯ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нормы распространяются на проектирование новых, реконструируемых и капитально-ремонтируемых станционных сооружений: автовокзалов, автостанций, автопавильонов и автокасс.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НОРМАТИВНЫЕ ССЫЛКИ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настоящих нормах использованы ссылки на следующие нормативные документы: </w:t>
      </w:r>
    </w:p>
    <w:p>
      <w:pPr>
        <w:spacing w:after="120"/>
        <w:ind w:firstLine="708"/>
        <w:jc w:val="both"/>
      </w:pPr>
      <w:hyperlink w:history="1" r:id="rIdyechzkbkmmgtlik9gl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экологической экспертизе»;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«Технический регламент «Безопасность зданий и сооружений»;</w:t>
      </w:r>
    </w:p>
    <w:p>
      <w:pPr>
        <w:spacing w:after="120"/>
        <w:ind w:firstLine="708"/>
        <w:jc w:val="both"/>
      </w:pPr>
      <w:hyperlink w:history="1" r:id="rIdruiqtyvcujhvkp8v5r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11.04.2016 года №201 «Об утверждении актов в области общественного здравоохранения»: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«</w:t>
      </w:r>
      <w:hyperlink w:history="1" r:id="rIdfcw-qb4hzffk61g-xa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fy59fvwlpcansk6mpf7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организации работы на персональных электронно-вычислительных машинах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wvnnuykv760f_w29tqe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Санитарно-защитные зоны и санитарная классификация предприятий, сооружений и иных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rxnjvpwkfl514jwlwmp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объектам оптовой и розничной торговли пищевой продукцией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ggp3yguenke1nlpw3nn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объектам общественного питания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нормативы «</w:t>
      </w:r>
      <w:hyperlink w:history="1" r:id="rIdjzg5c60ongw2cyo_2b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Шум на рабочих местах, в помещениях жилых, общественных зданий и на территории жилой застройки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«</w:t>
      </w:r>
      <w:hyperlink w:history="1" r:id="rIdfya7jxvhxvadyguzoo1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Предельно допустимые концентрации вредных веществ в воздухе рабочей зоны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«</w:t>
      </w:r>
      <w:hyperlink w:history="1" r:id="rIdbfy85zayyppnojwtf7v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Ориентировочные безопасные уровни воздействия вредных веществ в воздухе рабочей зоны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Гигиенические нормативы «</w:t>
      </w:r>
      <w:hyperlink w:history="1" r:id="rIdhm3-62v8hyzks0acvl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Ориентировочные допустимые уровни химических веществ в воде водных объектов хозяйственно-питьевого и культурно-бытового водопользования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eoumeklrok-ildxhey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обеспечению безопасности горячего водоснабжения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Санитарно-эпидемиологические правила и нормативы «</w:t>
      </w:r>
      <w:hyperlink w:history="1" r:id="rIdj-nk1goettu1dtebir3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требования к устройству и эксплуатации общественных туалетов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правила и гигиенические нормативы «</w:t>
      </w:r>
      <w:hyperlink w:history="1" r:id="rIdikbglafixsdjjeqy3d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требования к естественному, искусственному и совмещенному освещению помещений жилых и общественных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hyperlink w:history="1" r:id="rIdilathwqbbiu0gue5al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№ 30-нпа от 31.12.2018 года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31-06:2018 «Административные и бытовые здания»;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2.04.09-84</w:t>
      </w:r>
      <w:r>
        <w:rPr>
          <w:rFonts w:ascii="Arial" w:cs="Arial" w:eastAsia="Arial" w:hAnsi="Arial"/>
          <w:sz w:val="24"/>
          <w:szCs w:val="24"/>
        </w:rPr>
        <w:t xml:space="preserve"> «Пожарная автоматика зданий и сооружений»;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2.03.11-85 «Защита строительных конструкций от коррозии»;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2.09.04-87* «Административные и бытовые здания»;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2.04.01-85* «Внутренний водопровод и канализация зданий»;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2.04.05-91* «Отопление, вентиляция и кондиционирование»;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МСН 2.04-05-95 «Естественное и искусственное освещение»;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21-01:2018 «Пожарная безопасность зданий и сооружений»;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31-04:2018 «Общественные здания и сооружения»;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31-05:2018 «Производственные здания»;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31-06:2018 «Административные и бытовые здания»;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31-12:2018 «Стоянки автомобилей»;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35-0</w:t>
      </w:r>
      <w:r>
        <w:rPr>
          <w:rFonts w:ascii="Arial" w:cs="Arial" w:eastAsia="Arial" w:hAnsi="Arial"/>
          <w:sz w:val="24"/>
          <w:szCs w:val="24"/>
        </w:rPr>
        <w:t xml:space="preserve">12018</w:t>
      </w:r>
      <w:r>
        <w:rPr>
          <w:rFonts w:ascii="Arial" w:cs="Arial" w:eastAsia="Arial" w:hAnsi="Arial"/>
          <w:sz w:val="24"/>
          <w:szCs w:val="24"/>
        </w:rPr>
        <w:t xml:space="preserve">«Проектирование среды жизнедеятельности с учетом потребностей лиц с ограниченными возможностями здоровья»;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 КР 35-101:2018 «Обеспечение среды жизнедеятельности при планировочных решениях зданий для лиц с ограниченными возможностями здоровья» при принятии планировочных решений»;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40-01:2023 «Водоснабжение. Наружные сети и сооружения»;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30-01:2020 «Планировка и застройка городов и населенных пунктов городского типа»;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 КР 21-101:2024 «Пожарная автоматика зданий и сооружений»;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 КР 40-102:2024 «Внутренний водопровод и канализация зданий»;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</w:t>
      </w:r>
      <w:r>
        <w:rPr>
          <w:rFonts w:ascii="Arial" w:cs="Arial" w:eastAsia="Arial" w:hAnsi="Arial"/>
          <w:sz w:val="24"/>
          <w:szCs w:val="24"/>
        </w:rPr>
        <w:t xml:space="preserve"> 34428-2018 «Системы эвакуационные фотолюминесцентные. Общие технические условия».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25772-83 «Ограждения лестниц, балконов и крыш стальные. Общие технические условия»;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 30494-96 «Здания жилые и общественные. Параметры микроклимата в помещениях»;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ВСН 01-89</w:t>
      </w:r>
      <w:r>
        <w:rPr>
          <w:rFonts w:ascii="Arial" w:cs="Arial" w:eastAsia="Arial" w:hAnsi="Arial"/>
          <w:sz w:val="24"/>
          <w:szCs w:val="24"/>
        </w:rPr>
        <w:t xml:space="preserve"> «Ведомственные строительные нормы предприятия по обслуживанию автомобилей»;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ОНТП 01-91 «Общесоюзные нормы технологического проектирования предприятий автомобильного транспорта»;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1. Настоящие нормы предназначены для проектирования новых, реконструкции и расширения существующих станционных сооружений: автовокзалов, автостанций, автопавильонов и автокасс.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новых, реконструкция и расширение существующих станционных сооружений: автовокзалов, автостанций, автопавильонов и автокасс проводится с соблюдением требований нормативных актов, указанных в пункте 2. Нормативные ссылки.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При проектировании новых, реконструкции и расширении существующих станционных сооружений: автовокзалов, автостанций, автопавильонов и автокасс независимо от их сметной стоимости, ведомственной принадлежности и форм собственности проходят обязательную государственную экологическую экспертизу.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 Кыргызской Республики «Об экологической экспертизе», все этапы объектов строительства: технико-экономические обоснования и проекты строительства, реконструкции, расширения, технического перевооружения, консервации и ликвидации объектов и другие проекты, реализация которых могут оказать воздействие на окружающую среду являются объектами экологической экспертизы, проходят обязательную государственную экспертизу, независимо от их сметной стоимости, ведомственной принадлежности и форм собственности.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</w:t>
      </w:r>
      <w:r>
        <w:rPr>
          <w:rFonts w:ascii="Arial" w:cs="Arial" w:eastAsia="Arial" w:hAnsi="Arial"/>
          <w:sz w:val="24"/>
          <w:szCs w:val="24"/>
        </w:rPr>
        <w:t xml:space="preserve">. Общую, полезную и расчетную площадь, строительный объем, площадь застройки, высоту и этажность здания следует определять в соответствии с СН КР 31-04:2028.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На автовокзалах и автостанциях должны предусматриваться: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пассажирские, служебные и технические помещения в здании;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благоустроенные пассажирские зоны вне здания с организацией ожидания пассажиров, продажей билетов на улицу, хранения ручной клади, розничной торговли в киосках;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перроны отправления и прибытия с постами посадки и высадки пассажиров;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 территория с площадкой межрейсового отстоя, проездами для движения автобусов и постами технического осмотра;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зона с площадкой для сбора и хранения мусора и пищевых отходов.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На автопавильонах должны предусматриваться: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автокасса, диспетчерское руководство;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закрытого или полузакрытого типа для укрытия пассажиров от дождя и других неблагоприятных климатических условий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Строится рядом с автомобильными дорогами в населённых пунктах и функционирует как филиал ближайшего автовокзала или автостанции.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3.2.3 На автокассах функционирующего как филиал ближайшего автовокзала или автостанции, должны предусматриваться: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автокасса, диспетчерское руководство;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Строится рядом с автомобильными дорогами в населенных пунктах и функционирует как филиал ближайшего автовокзала или автостанции.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На автокассах, как отдельного хозяйствующего субъекта должно предусматриваться в зависимости от количества закрепленных автобусных маршрутов: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перроны отправления и прибытия с постами посадки и высадки пассажиров;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 территория с площадкой межрейсового отстоя, проездами для движения автобусов и постами технического осмотра;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пассажирские, служебные и технические помещения в здании;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благоустроенные пассажирские зоны вне здания с организацией ожидания пассажиров, продажей билетов на улицу, хранения ручной клади, розничной торговли в киосках;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3.3</w:t>
      </w:r>
      <w:r>
        <w:rPr>
          <w:rFonts w:ascii="Arial" w:cs="Arial" w:eastAsia="Arial" w:hAnsi="Arial"/>
          <w:sz w:val="24"/>
          <w:szCs w:val="24"/>
        </w:rPr>
        <w:t xml:space="preserve">. При проектировании станционных сооружений следует предусматривать устройства и мероприятия для обеспечения безопасного передвижения по территории лицам с ограниченными возможностями здоровья и маломобильных групп населения, их удобного доступа и пользования помещениями в зданиях: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пандусы при лестницах на входах в здания и при наличии перепадов отметок полов в помещениях;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двери и тамбуры с размерами, учитывающими проезды инвалидных кресел-колясок и детских колясок;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пассажирских лифтов при наличии помещений для пассажиров выше первого этажа.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Приспособления для инвалидов, пользующихся креслами-колясками, в помещениях автовокзалов и пассажирских автостанций следует предусматривать в соответствии с требованиями СН КР 35-01:2018 «Проектирование среды жизнедеятельности с учетом потребностей инвалидов и маломобильных групп населения».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3.4</w:t>
      </w:r>
      <w:r>
        <w:rPr>
          <w:rFonts w:ascii="Arial" w:cs="Arial" w:eastAsia="Arial" w:hAnsi="Arial"/>
          <w:sz w:val="24"/>
          <w:szCs w:val="24"/>
        </w:rPr>
        <w:t xml:space="preserve">. Состав и площади помещений здания станционных сооружений, а также благоустроенных пассажирских зон вне здания предусматриваются в зависимости от климатических условий района строительства.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3.5</w:t>
      </w:r>
      <w:r>
        <w:rPr>
          <w:rFonts w:ascii="Arial" w:cs="Arial" w:eastAsia="Arial" w:hAnsi="Arial"/>
          <w:sz w:val="24"/>
          <w:szCs w:val="24"/>
        </w:rPr>
        <w:t xml:space="preserve">. На автовокзалах и автостанциях при невозможности обеспечения эффективной кооперации по обслуживанию автобусов с ближайшими автотранспортными предприятиями должны предусматриваться: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механизированная мойка автобусов;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подогрева двигателей на площадке межрейсового отстоя автобусов.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3.6</w:t>
      </w:r>
      <w:r>
        <w:rPr>
          <w:rFonts w:ascii="Arial" w:cs="Arial" w:eastAsia="Arial" w:hAnsi="Arial"/>
          <w:sz w:val="24"/>
          <w:szCs w:val="24"/>
        </w:rPr>
        <w:t xml:space="preserve">. Мощность станционных сооружений определяется расчетным суточным отправлением пассажиров, устанавливаемым по форме обязательного приложения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к заданию на проектирование.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3.7</w:t>
      </w:r>
      <w:r>
        <w:rPr>
          <w:rFonts w:ascii="Arial" w:cs="Arial" w:eastAsia="Arial" w:hAnsi="Arial"/>
          <w:sz w:val="24"/>
          <w:szCs w:val="24"/>
        </w:rPr>
        <w:t xml:space="preserve">. Классификация станционных сооружений определяется в зависимости от величины расчетного суточного отправления пассажиров согласно табл.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0"/>
        <w:gridCol w:w="2700"/>
        <w:gridCol w:w="2908"/>
      </w:tblGrid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Автостанции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200 до 400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400 до 600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600 до 1000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 до 2000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Автовокзалы малые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2000 до 3000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3000 до 4000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4000 до 6000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Автовокзалы средние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6000 до 8000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8000 до 10000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10000 до 15000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Автовокзалы большие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15000 до 20000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20000 до 25000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25000 до 30000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30000 до 40000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40000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Вместимость станционных сооружений: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людей, которое может одновременно разместиться в здании с соблюдением нормативных требований;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СХЕМА АВТОВОКЗАЛОВ И АВТОСТАНЦИЙ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</w:t>
      </w:r>
      <w:r>
        <w:rPr>
          <w:rFonts w:ascii="Arial" w:cs="Arial" w:eastAsia="Arial" w:hAnsi="Arial"/>
          <w:sz w:val="24"/>
          <w:szCs w:val="24"/>
        </w:rPr>
        <w:t xml:space="preserve">. Автовокзалы и автостанции в малых и средних городах следует размещать в центре внутригородских транспортных сообщений; автовокзалы в больших, крупных городах, как правило, в периферийных районах, обеспеченных внутригородскими видами транспорта и удобными выходами на внешние автомобильные дороги.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4.2</w:t>
      </w:r>
      <w:r>
        <w:rPr>
          <w:rFonts w:ascii="Arial" w:cs="Arial" w:eastAsia="Arial" w:hAnsi="Arial"/>
          <w:sz w:val="24"/>
          <w:szCs w:val="24"/>
        </w:rPr>
        <w:t xml:space="preserve">. В городах, имеющих пункты пересечения или примыкания двух или нескольких видов внешнего транспорта, должны проектироваться объединенные автовокзалы, обслуживающие пассажирские перевозки этих видов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</w:t>
      </w:r>
      <w:r>
        <w:rPr>
          <w:rFonts w:ascii="Arial" w:cs="Arial" w:eastAsia="Arial" w:hAnsi="Arial"/>
          <w:sz w:val="24"/>
          <w:szCs w:val="24"/>
        </w:rPr>
        <w:t xml:space="preserve">. В генеральном плане должно быть обеспечено разделение путей движения автобусов и пассажиров на территории автовокзала и автостанции.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4.4</w:t>
      </w:r>
      <w:r>
        <w:rPr>
          <w:rFonts w:ascii="Arial" w:cs="Arial" w:eastAsia="Arial" w:hAnsi="Arial"/>
          <w:sz w:val="24"/>
          <w:szCs w:val="24"/>
        </w:rPr>
        <w:t xml:space="preserve">. При решении генерального плана должны быть предусмотрены мероприятия по организации движения транспорта и пешеходов: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расстановка дорожных знаков, светофоров и средств визуальных коммуникаций;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разметка проезжей части и площадки межрейсового отстоя;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обустройства пешеходных переходов, остановок и стоянок городского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4.5</w:t>
      </w:r>
      <w:r>
        <w:rPr>
          <w:rFonts w:ascii="Arial" w:cs="Arial" w:eastAsia="Arial" w:hAnsi="Arial"/>
          <w:sz w:val="24"/>
          <w:szCs w:val="24"/>
        </w:rPr>
        <w:t xml:space="preserve">. Перроны отправления необходимо размещать в максимальном приближении к зданию, обеспечивая кратчайшие пути следования из пассажирских помещений. В примыкании к перронам отправления следует предусматривать зоны ожидания пассажиров шириной не менее 2,5 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перронов прибытия должно обеспечивать кратчайший выход пассажиров на привокзальную площадь, минуя здание.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4.6</w:t>
      </w:r>
      <w:r>
        <w:rPr>
          <w:rFonts w:ascii="Arial" w:cs="Arial" w:eastAsia="Arial" w:hAnsi="Arial"/>
          <w:sz w:val="24"/>
          <w:szCs w:val="24"/>
        </w:rPr>
        <w:t xml:space="preserve">. Для пассажиров пригородных маршрутов с интервалом движения автобусов менее 20 мин при их расчетном суточном отправлении свыше 3 тыс. пасс. следует предусматривать отдельные перроны отправления и прибытия, обеспечивая проход к ним, минуя здание.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4.7</w:t>
      </w:r>
      <w:r>
        <w:rPr>
          <w:rFonts w:ascii="Arial" w:cs="Arial" w:eastAsia="Arial" w:hAnsi="Arial"/>
          <w:sz w:val="24"/>
          <w:szCs w:val="24"/>
        </w:rPr>
        <w:t xml:space="preserve">. Для транзитных автобусов в зоне перрона отправления следует, выделять отдельные посты.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4.8</w:t>
      </w:r>
      <w:r>
        <w:rPr>
          <w:rFonts w:ascii="Arial" w:cs="Arial" w:eastAsia="Arial" w:hAnsi="Arial"/>
          <w:sz w:val="24"/>
          <w:szCs w:val="24"/>
        </w:rPr>
        <w:t xml:space="preserve">. Перроны по конфигурации кромки для постановки к ним автобусов предусматриваются: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прямолинейные;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уступообразные;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гребенчатые.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Прямолинейные перроны допускаются при количестве постов не более трех.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Гребенчатые перроны допускаются как исключение.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Геометрические параметры перронов необходимо принимать согласно рис.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обязательного приложения 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4.9</w:t>
      </w:r>
      <w:r>
        <w:rPr>
          <w:rFonts w:ascii="Arial" w:cs="Arial" w:eastAsia="Arial" w:hAnsi="Arial"/>
          <w:sz w:val="24"/>
          <w:szCs w:val="24"/>
        </w:rPr>
        <w:t xml:space="preserve">. Над перронами необходимо предусматривать навесы шириной, обеспечивающей укрытие пассажиров при посадке и высадке, а также на пути следования их от здания до передней двери автобуса.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не предусматривать навес над перронами прибытия.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Перроны должны быть рассчитаны на подход автобусов передним ходом и возвышаться над проезжей частью на 25 см.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4.10</w:t>
      </w:r>
      <w:r>
        <w:rPr>
          <w:rFonts w:ascii="Arial" w:cs="Arial" w:eastAsia="Arial" w:hAnsi="Arial"/>
          <w:sz w:val="24"/>
          <w:szCs w:val="24"/>
        </w:rPr>
        <w:t xml:space="preserve">. Количество постов посадки и высадки, а также количество мест на площадке межрейсового отстоя автобусов следует определять в соответствии с общим расчетным суточным отправлением пассажиров по табл.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при этом количество постов для каждого вида сообщений определяется в соответствии с процентом данного вида сообщения от общего суточного отправления.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3"/>
        <w:gridCol w:w="1289"/>
        <w:gridCol w:w="608"/>
        <w:gridCol w:w="608"/>
        <w:gridCol w:w="1250"/>
        <w:gridCol w:w="798"/>
        <w:gridCol w:w="798"/>
        <w:gridCol w:w="608"/>
        <w:gridCol w:w="608"/>
        <w:gridCol w:w="625"/>
        <w:gridCol w:w="625"/>
      </w:tblGrid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Св. 200 до 400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400 до 600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600 до 1000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1000 до 2000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2000 до 3000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3000 до 4000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4000 до 6000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6000 до 8000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8000 до 10000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 10000</w:t>
            </w:r>
          </w:p>
        </w:tc>
        <w:tc>
          <w:tcPr>
            <w:tcW w:type="dxa" w:w="7817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добавляется 1 пост (место) на каждые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6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4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17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пассажиров суточного отправления свыше 10000</w:t>
            </w:r>
          </w:p>
        </w:tc>
      </w:tr>
      <w:tr>
        <w:tc>
          <w:tcPr>
            <w:tcW w:type="dxa" w:w="23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см. приложение № 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4.11</w:t>
      </w:r>
      <w:r>
        <w:rPr>
          <w:rFonts w:ascii="Arial" w:cs="Arial" w:eastAsia="Arial" w:hAnsi="Arial"/>
          <w:sz w:val="24"/>
          <w:szCs w:val="24"/>
        </w:rPr>
        <w:t xml:space="preserve">. Благоустроенные пассажирские зоны следует размещать, в примыкании к перронам и зданию.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продажи билетов на улице необходимо предусматривать навес для пассажиров шириной не менее 6 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ручной клади в автоматических ячейках вне здания следует устраивать под навесом с ограждением, обеспечивая их сохранность, в количестве, указанном в п. 1 табл. 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п. 5 табл. 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4.12</w:t>
      </w:r>
      <w:r>
        <w:rPr>
          <w:rFonts w:ascii="Arial" w:cs="Arial" w:eastAsia="Arial" w:hAnsi="Arial"/>
          <w:sz w:val="24"/>
          <w:szCs w:val="24"/>
        </w:rPr>
        <w:t xml:space="preserve">. Перроны, проезды, площадки отстоя автобусов и стоянки легковых автомобилей должны иметь твердые покрытия, устойчивые от нефтепродуктов.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4.13</w:t>
      </w:r>
      <w:r>
        <w:rPr>
          <w:rFonts w:ascii="Arial" w:cs="Arial" w:eastAsia="Arial" w:hAnsi="Arial"/>
          <w:sz w:val="24"/>
          <w:szCs w:val="24"/>
        </w:rPr>
        <w:t xml:space="preserve">. На территории, примыкающей к благоустроенной пассажирской зоне или к привокзальной площади, следует размещать киоски и павильоны розничной торговли, общественного питания и зрелищно-развлекательного назначения. Количество и назначение перечисленных объектов определяется заданием на проектирование.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4.14</w:t>
      </w:r>
      <w:r>
        <w:rPr>
          <w:rFonts w:ascii="Arial" w:cs="Arial" w:eastAsia="Arial" w:hAnsi="Arial"/>
          <w:sz w:val="24"/>
          <w:szCs w:val="24"/>
        </w:rPr>
        <w:t xml:space="preserve">. Пост технического осмотра предназначен для проверки узлов и агрегатов, обеспечивающих безопасность движения.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осмотр автобусов выполняется на наружной эстакаде или в здании (при наличии механизированной мойки), на проездных или тупиковых постах из расчета 1 пост на 20 мест межрейсового отстоя, но не менее одного.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Посты технического осмотра, механизированную мойку автобусов и их оборудование следует проектировать согласно требованиям </w:t>
      </w:r>
      <w:r>
        <w:rPr>
          <w:rFonts w:ascii="Arial" w:cs="Arial" w:eastAsia="Arial" w:hAnsi="Arial"/>
          <w:sz w:val="24"/>
          <w:szCs w:val="24"/>
        </w:rPr>
        <w:t xml:space="preserve">ОНТП 01</w:t>
      </w:r>
      <w:r>
        <w:rPr>
          <w:rFonts w:ascii="Arial" w:cs="Arial" w:eastAsia="Arial" w:hAnsi="Arial"/>
          <w:sz w:val="24"/>
          <w:szCs w:val="24"/>
        </w:rPr>
        <w:t xml:space="preserve">-91.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4.15</w:t>
      </w:r>
      <w:r>
        <w:rPr>
          <w:rFonts w:ascii="Arial" w:cs="Arial" w:eastAsia="Arial" w:hAnsi="Arial"/>
          <w:sz w:val="24"/>
          <w:szCs w:val="24"/>
        </w:rPr>
        <w:t xml:space="preserve">. Геометрические параметры площадки межрейсового отстоя автобусов и проездов следует принимать согласно техническим характеристикам автобусов большой вместимости.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4.16</w:t>
      </w:r>
      <w:r>
        <w:rPr>
          <w:rFonts w:ascii="Arial" w:cs="Arial" w:eastAsia="Arial" w:hAnsi="Arial"/>
          <w:sz w:val="24"/>
          <w:szCs w:val="24"/>
        </w:rPr>
        <w:t xml:space="preserve">. Площадь земельного участка для строительства автовокзала или автостанции следует, как правило, определять в соответствии с количеством постов посадки и высадки согласно табл. 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1"/>
        <w:gridCol w:w="3701"/>
        <w:gridCol w:w="3495"/>
      </w:tblGrid>
      <w:tr>
        <w:tc>
          <w:tcPr>
            <w:tcW w:type="dxa" w:w="29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до 5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Автостанции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2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Св. 5 до 10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автовокзалы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29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Св. 10 до 15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Средние, большие автовокзалы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29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» 15 до 20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2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» 20</w:t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Удельная площадь земельного участка дана без учета привокзальной площади и территории для размещения объектов, указанных в п. </w:t>
      </w:r>
      <w:r>
        <w:rPr>
          <w:rFonts w:ascii="Arial" w:cs="Arial" w:eastAsia="Arial" w:hAnsi="Arial"/>
          <w:sz w:val="24"/>
          <w:szCs w:val="24"/>
        </w:rPr>
        <w:t xml:space="preserve">2.12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Рекомендуемые схемы генерального плана автовокзала и автостанции приведены на рис.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приложения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ОБЪЕМНО-ПЛАНИРОВОЧНЫЕ РЕШЕНИЯ ЗДАНИЙ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</w:t>
      </w:r>
      <w:r>
        <w:rPr>
          <w:rFonts w:ascii="Arial" w:cs="Arial" w:eastAsia="Arial" w:hAnsi="Arial"/>
          <w:sz w:val="24"/>
          <w:szCs w:val="24"/>
        </w:rPr>
        <w:t xml:space="preserve">. Объемно-планировочные решения зданий автовокзалов и автостанций должны обеспечивать планировочное разделение зон пассажирских и служебных помещений и отвечать требованиям функциональных связей по кратчайшим путям следования пассажиров и персонала.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</w:t>
      </w:r>
      <w:r>
        <w:rPr>
          <w:rFonts w:ascii="Arial" w:cs="Arial" w:eastAsia="Arial" w:hAnsi="Arial"/>
          <w:sz w:val="24"/>
          <w:szCs w:val="24"/>
        </w:rPr>
        <w:t xml:space="preserve">. Состав и площади помещений зданий автостанций следует принимать согласно табл. 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4110"/>
        <w:gridCol w:w="1645"/>
        <w:gridCol w:w="1337"/>
        <w:gridCol w:w="1337"/>
        <w:gridCol w:w="1439"/>
      </w:tblGrid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Пассажирские помещения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киосков розничной торговли, шт.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автоматических ячеек хранения ручной клади, шт.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киосков розничной торговли, шт.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матери и ребенка: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комната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спальных мест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Уборная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унитазов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уборные:</w:t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 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количество санитарных приборов, напольных чаш и писсуаров, всего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</w:t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посадочных мест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Служебные помещения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Кассы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ячеек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Диспетчерская,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водительская за барьером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кратковременного отдыха водителей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начальника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Подсобная комната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Кладовая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Дворницкая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 уборные</w:t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 06:2018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унитазов, всего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помещения</w:t>
            </w:r>
          </w:p>
        </w:tc>
        <w:tc>
          <w:tcPr>
            <w:tcW w:type="dxa" w:w="575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соответствующим главам СНиП и техническим условиям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Отклонения от норм площадей отдельных помещений допускаются в сторону увеличения для помещений площадью: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- на 20 %,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св. 10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- на 10 %.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Площадь пассажирского зала дана без учета киосков и 2-х метровой зоны перед ними.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пассажирских автостанциях с расчетным суточным отправлением 400 и более пасс. необходимо предусматривать возможность продажи билетов непосредственно на улицу.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Количество санитарных приборов в общественных мужских и женских уборных следует принимать одинаковым.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5.3</w:t>
      </w:r>
      <w:r>
        <w:rPr>
          <w:rFonts w:ascii="Arial" w:cs="Arial" w:eastAsia="Arial" w:hAnsi="Arial"/>
          <w:sz w:val="24"/>
          <w:szCs w:val="24"/>
        </w:rPr>
        <w:t xml:space="preserve">. Состав и площади помещений зданий - автовокзалов следует принимать согласно табл. 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72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  <w:gridCol w:w="659"/>
      </w:tblGrid>
      <w:tr>
        <w:tc>
          <w:tcPr>
            <w:tcW w:type="dxa" w:w="2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7908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при расчетном суточном отправлении, пасс.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1000 - 2000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2000 - 3000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3000 - 4000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4000 - 6000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6000 - 8000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 – 10000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– 15000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 – 20000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 – 25000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 – 30000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 –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Пассажирские помещения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Кассовая зона: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Зона ожидания: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Зона розничной торговли: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киосков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Комнаты матери и ребенка: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спальных мест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 КР 31-06:2018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унитазов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горшечная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ванная 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дежурных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прихожая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Камеры хранение ручной клади: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автоматическими ячейками 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ячеек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стеллажами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хранения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перед камерой хранения оборудованной стеллажами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дежурных с камерой хранения утерянных вещей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Курительная комната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Общественные уборные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31-06:2018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количество санитарных приборов - напольных чаш и писсуаров, всего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Предприятия общественного питания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посадочных мест, всего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для водителей и персонала (в знаменателе)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24/4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буфета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с самообслуживанием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28/8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36/12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44/12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с самообслуживанием и буфетом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60/16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72/20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74/24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76/28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84/32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100/36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112/40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Медицинский пункт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кабинета по 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уборная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 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сантехнических приборов, всего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Пункт милиции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дежурного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камера предварительного заключения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дружинников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уборная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 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количество напольных чаш, всего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Помещения дополнительного обслуживания пассажиров (отделение связи, предприятия бытового обслуживания, зал игровых автоматов, видеосалон и т.п.)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заданию и техническим условиям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Служебные помещения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Кассовый блок: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кассы продажи билетов; включая ячейку администратора касс и коридор за кассами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касс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билетный склад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старших кассиров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отдыха кассиров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инкассаторская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комнаты по 12</w:t>
            </w:r>
          </w:p>
        </w:tc>
        <w:tc>
          <w:tcPr>
            <w:tcW w:type="dxa" w:w="19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комнаты по 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уборная при кассах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31-06:2018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количество унитазов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личной гигиены женщин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2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31-06:2018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Дежурный по вокзалу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Кабина справочного бюро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кабины по 7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Диспетчерская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Комната диктора оповещения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Узел связи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Комнаты предрейсового медицинского освидетельствования водителей: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врача-нарколога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кабинета по 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врача-терапевта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Комната перронных контролеров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Комната операторов распределения мест по кассам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Комната носильщиков с кладовой тележек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Комнаты кратковременного отдыха водителей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Кабинет начальника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Приемная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Кабинет заместителя начальника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Комнаты технической службы эксплуатации: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инженера: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хозяйством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Зал собраний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Комната общественных организаций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Кладовые уборочных машин и инвентаря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Кладовые оборудования, инвентаря и мебели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Мастерская художника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Мастерские по ремонту оборудования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Мастерская по ремонту мебели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Помещения хранения уличного уборочного инвентаря и механизмов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Дворницкая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Комнаты охраны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пожарного поста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Уборные для персонала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31-06:2018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водителей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Помещение личной гигиены женщин (персонала)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3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СН КР 31 06:2018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помещение)</w:t>
            </w:r>
          </w:p>
        </w:tc>
      </w:tr>
      <w:tr>
        <w:tc>
          <w:tcPr>
            <w:tcW w:type="dxa" w:w="2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Гардеробные и душевые персонала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1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 КР 31 06:2018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душевых сеток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В. Дополнительные служебные помещения по заданию на проектирование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Комната раскассечивания автоматических касс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Комната подсчета денег водителями (кондукторами)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Касса приема выручки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кассы по 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Касса выдачи билетов водителям (кондукторам)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Кладовая хранения кондукторских сумок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Комнаты ночного отдыха водителей: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спальная комната на 2 человек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 мест по заданию)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комнаты дежурного персонала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1 спальное место, но не менее 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вестибюль, холл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1 спальное место, но не менее 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уборные, умывальные, душевые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заданию, но не менее 2-х унитазов, 2-х умывальников и 1 душевой кабины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Помещения автоматизированной системы управления и информации</w:t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техническим характеристикам оборудования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 Технические помещения инженерного обеспечения</w:t>
            </w:r>
          </w:p>
        </w:tc>
      </w:tr>
      <w:tr>
        <w:tc>
          <w:tcPr>
            <w:tcW w:type="dxa" w:w="2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8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техническим условиям и характеристикам оборудования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Отклонения от норм площадей отдельных помещений допускаются в сторону уменьшения или увеличения, для помещений площадью: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 на 15 %;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 на 5 %.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зависимости от местных условий, допускается устройство касс с продажей билетов на улицу с соответствующим уменьшением площади кассовой зоны, но не более чем на 20 %.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организации предварительной продажи билетов вне автовокзала, количество касс и площади кассового зала следует уменьшать в соответствии с объемами предварительной продажи билетов вне автовокзала (по заданию).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Организация продажи билетов через кассовые автоматы определяется заданием. Количество кассовых автоматов необходимо принимать из расчета 1 автомат на 1 тыс. пасс. расчетного суточного отправления пригородных маршрутов, но не менее трех. Количество кассовых ячеек при этом следует уменьшать из расчета замены 1 кассовой ячейки на 3 автомата.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Количество санитарных приборов в общественных мужских и женских уборных следует принимать одинаковым.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5.4</w:t>
      </w:r>
      <w:r>
        <w:rPr>
          <w:rFonts w:ascii="Arial" w:cs="Arial" w:eastAsia="Arial" w:hAnsi="Arial"/>
          <w:sz w:val="24"/>
          <w:szCs w:val="24"/>
        </w:rPr>
        <w:t xml:space="preserve">. Количество работающих на автовокзалах и автостанциях рекомендуется принимать согласно таблице приложения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5.5</w:t>
      </w:r>
      <w:r>
        <w:rPr>
          <w:rFonts w:ascii="Arial" w:cs="Arial" w:eastAsia="Arial" w:hAnsi="Arial"/>
          <w:sz w:val="24"/>
          <w:szCs w:val="24"/>
        </w:rPr>
        <w:t xml:space="preserve">. В состав пассажирских помещений автовокзалов входят зоны: кассовая, ожидания, распределительная и розничной торговли, которые могут быть расположены в едином пассажирском зале; возможно выделение раздельных залов ожидания и кассового.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5.6</w:t>
      </w:r>
      <w:r>
        <w:rPr>
          <w:rFonts w:ascii="Arial" w:cs="Arial" w:eastAsia="Arial" w:hAnsi="Arial"/>
          <w:sz w:val="24"/>
          <w:szCs w:val="24"/>
        </w:rPr>
        <w:t xml:space="preserve">. К распределительной зоне относятся помещения (вестибюли, холлы, переходы и т.п.), которые служат для распределения пассажиропотоков между различными пассажирскими помещениями.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5.7</w:t>
      </w:r>
      <w:r>
        <w:rPr>
          <w:rFonts w:ascii="Arial" w:cs="Arial" w:eastAsia="Arial" w:hAnsi="Arial"/>
          <w:sz w:val="24"/>
          <w:szCs w:val="24"/>
        </w:rPr>
        <w:t xml:space="preserve">. В зданиях больших автовокзалов допускается предусматривать выделение зала предварительной продажи билетов, а также устройство раздельных залов ожидания пассажиров междугородных и пригородных маршрутов, при этом продажу билетов на пригородные маршруты допускается осуществлять в зале ожидания.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5.8</w:t>
      </w:r>
      <w:r>
        <w:rPr>
          <w:rFonts w:ascii="Arial" w:cs="Arial" w:eastAsia="Arial" w:hAnsi="Arial"/>
          <w:sz w:val="24"/>
          <w:szCs w:val="24"/>
        </w:rPr>
        <w:t xml:space="preserve">. Помещения для пассажиров с детьми следует, как правило, размещать в примыкании к зоне ожидания.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5.9</w:t>
      </w:r>
      <w:r>
        <w:rPr>
          <w:rFonts w:ascii="Arial" w:cs="Arial" w:eastAsia="Arial" w:hAnsi="Arial"/>
          <w:sz w:val="24"/>
          <w:szCs w:val="24"/>
        </w:rPr>
        <w:t xml:space="preserve">. Общественные уборные следует располагать между основными путями прибытия и отправления пассажиров и обеспечивать входами из пассажирских помещений и с перронов.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уборные допускается размещать в отдельно стоящем здании в оптимальном приближении к перронам и к зданию.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5.10</w:t>
      </w:r>
      <w:r>
        <w:rPr>
          <w:rFonts w:ascii="Arial" w:cs="Arial" w:eastAsia="Arial" w:hAnsi="Arial"/>
          <w:sz w:val="24"/>
          <w:szCs w:val="24"/>
        </w:rPr>
        <w:t xml:space="preserve">. В предприятиях общественного питания в зданиях больших автовокзалов следует выделять торговый зал с раздачей для обслуживания персонала и водителей.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5.11</w:t>
      </w:r>
      <w:r>
        <w:rPr>
          <w:rFonts w:ascii="Arial" w:cs="Arial" w:eastAsia="Arial" w:hAnsi="Arial"/>
          <w:sz w:val="24"/>
          <w:szCs w:val="24"/>
        </w:rPr>
        <w:t xml:space="preserve">. Кассовые ячейки необходимо предусматривать размером не менее 1,8×1,8 м, изолированными друг от друга. Не допускается устройство билетных касс за открытым барьером, а также использование конструкций и материалов для устройства полов, приводящих к их охлаждению.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5.12</w:t>
      </w:r>
      <w:r>
        <w:rPr>
          <w:rFonts w:ascii="Arial" w:cs="Arial" w:eastAsia="Arial" w:hAnsi="Arial"/>
          <w:sz w:val="24"/>
          <w:szCs w:val="24"/>
        </w:rPr>
        <w:t xml:space="preserve">. Комнату дежурного по вокзалу следует размещать в примыкании к основным пассажирским помещениям.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5.13</w:t>
      </w:r>
      <w:r>
        <w:rPr>
          <w:rFonts w:ascii="Arial" w:cs="Arial" w:eastAsia="Arial" w:hAnsi="Arial"/>
          <w:sz w:val="24"/>
          <w:szCs w:val="24"/>
        </w:rPr>
        <w:t xml:space="preserve">. Диспетчерскую следует размещать, обеспечивая, как правило, обзор перронов отправления.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пола рабочего места диспетчера отправления должна возвышаться над уровнем проезжей части не менее чем на 90 см, а конструкция пола не должна приводить к его охлаждению.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5.14</w:t>
      </w:r>
      <w:r>
        <w:rPr>
          <w:rFonts w:ascii="Arial" w:cs="Arial" w:eastAsia="Arial" w:hAnsi="Arial"/>
          <w:sz w:val="24"/>
          <w:szCs w:val="24"/>
        </w:rPr>
        <w:t xml:space="preserve">. Комнаты дикторов оповещения, узла связи и информатора радиосправки необходимо размещать в примыкании к диспетчерской.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5.15</w:t>
      </w:r>
      <w:r>
        <w:rPr>
          <w:rFonts w:ascii="Arial" w:cs="Arial" w:eastAsia="Arial" w:hAnsi="Arial"/>
          <w:sz w:val="24"/>
          <w:szCs w:val="24"/>
        </w:rPr>
        <w:t xml:space="preserve">. Водительская должна размещаться в примыкании к диспетчерской и соединяться с ней проемами для оформления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5.16</w:t>
      </w:r>
      <w:r>
        <w:rPr>
          <w:rFonts w:ascii="Arial" w:cs="Arial" w:eastAsia="Arial" w:hAnsi="Arial"/>
          <w:sz w:val="24"/>
          <w:szCs w:val="24"/>
        </w:rPr>
        <w:t xml:space="preserve">. Комнаты предрейсового медицинского освидетельствования и комнаты кратковременного отдыха водителей следует размещать вблизи водительской.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5.17</w:t>
      </w:r>
      <w:r>
        <w:rPr>
          <w:rFonts w:ascii="Arial" w:cs="Arial" w:eastAsia="Arial" w:hAnsi="Arial"/>
          <w:sz w:val="24"/>
          <w:szCs w:val="24"/>
        </w:rPr>
        <w:t xml:space="preserve">. Комнату перронных контролеров следует размещать вблизи диспетчерской в примыкании к перронам отправления.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5.18</w:t>
      </w:r>
      <w:r>
        <w:rPr>
          <w:rFonts w:ascii="Arial" w:cs="Arial" w:eastAsia="Arial" w:hAnsi="Arial"/>
          <w:sz w:val="24"/>
          <w:szCs w:val="24"/>
        </w:rPr>
        <w:t xml:space="preserve">. Комнату носильщиков с кладовой для тележек следует размещать вблизи перронов.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5.19</w:t>
      </w:r>
      <w:r>
        <w:rPr>
          <w:rFonts w:ascii="Arial" w:cs="Arial" w:eastAsia="Arial" w:hAnsi="Arial"/>
          <w:sz w:val="24"/>
          <w:szCs w:val="24"/>
        </w:rPr>
        <w:t xml:space="preserve">. Комната операторов распределения мест по кассам должна быть обеспечена связью операторов с диспетчерами для передачи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5.20</w:t>
      </w:r>
      <w:r>
        <w:rPr>
          <w:rFonts w:ascii="Arial" w:cs="Arial" w:eastAsia="Arial" w:hAnsi="Arial"/>
          <w:sz w:val="24"/>
          <w:szCs w:val="24"/>
        </w:rPr>
        <w:t xml:space="preserve">. Кабинет начальника в автостанциях следует размещать в примыкании к пассажирскому залу.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5.21</w:t>
      </w:r>
      <w:r>
        <w:rPr>
          <w:rFonts w:ascii="Arial" w:cs="Arial" w:eastAsia="Arial" w:hAnsi="Arial"/>
          <w:sz w:val="24"/>
          <w:szCs w:val="24"/>
        </w:rPr>
        <w:t xml:space="preserve">. Дворницкая и комната охраны должны быть обеспечены входом с улицы.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5.22</w:t>
      </w:r>
      <w:r>
        <w:rPr>
          <w:rFonts w:ascii="Arial" w:cs="Arial" w:eastAsia="Arial" w:hAnsi="Arial"/>
          <w:sz w:val="24"/>
          <w:szCs w:val="24"/>
        </w:rPr>
        <w:t xml:space="preserve">. Комнаты раскассечивания автоматических касс, подсчета и сдачи выручки водителями (кондукторами) следует размещать в составе кассового блока.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5.23</w:t>
      </w:r>
      <w:r>
        <w:rPr>
          <w:rFonts w:ascii="Arial" w:cs="Arial" w:eastAsia="Arial" w:hAnsi="Arial"/>
          <w:sz w:val="24"/>
          <w:szCs w:val="24"/>
        </w:rPr>
        <w:t xml:space="preserve">. Помещение инкассаторов следует размещать в кассовом блоке с учетом обеспечения удобства инкассации и должно быть обеспечено отдельным выходом с возможностью подъезда инкассаторского автомобиля.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5.24</w:t>
      </w:r>
      <w:r>
        <w:rPr>
          <w:rFonts w:ascii="Arial" w:cs="Arial" w:eastAsia="Arial" w:hAnsi="Arial"/>
          <w:sz w:val="24"/>
          <w:szCs w:val="24"/>
        </w:rPr>
        <w:t xml:space="preserve">. Автоматической пожарной сигнализацией должны быть оборудованы: операционные и кассовые залы, объединенные пассажирские залы, кабины билетных и багажных касс, комнаты матери и ребенка, помещения приема и выдачи багажа и ручной клади, комнаты длительного пребывания пассажиров, помещения отделений связи и сберегательных касс, парикмахерские, помещения предприятий бытового обслуживания пассажиров, медицинские пункты, служебные помещения, гардеробные персонала, помещения (камеры) хранения багажа и ручной клади в малых вокзалах, а также помещения предприятий общественного питания и помещения для ЭВМ.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всех вокзалах должны быть предусмотрены централизованные системы оповещения о пожаре.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5.25</w:t>
      </w:r>
      <w:r>
        <w:rPr>
          <w:rFonts w:ascii="Arial" w:cs="Arial" w:eastAsia="Arial" w:hAnsi="Arial"/>
          <w:sz w:val="24"/>
          <w:szCs w:val="24"/>
        </w:rPr>
        <w:t xml:space="preserve">. Установками автоматического пожаротушения в средних и больших автовокзалах должны быть оборудованы помещения (камеры) хранения багажа и ручной клади (кроме оборудованных автоматическими ячейками) и склады сгораемых материалов.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ЭЛЕКТРОСНАБЖЕНИЕ И ЭЛЕКТРОТЕХНИЧЕСКИЕ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6.1</w:t>
      </w:r>
      <w:r>
        <w:rPr>
          <w:rFonts w:ascii="Arial" w:cs="Arial" w:eastAsia="Arial" w:hAnsi="Arial"/>
          <w:sz w:val="24"/>
          <w:szCs w:val="24"/>
        </w:rPr>
        <w:t xml:space="preserve">. Электроснабжение, электротехнические устройства и искусственное освещение следует проектировать в соответствии с действующими Правилами устройства электроустановок (</w:t>
      </w:r>
      <w:r>
        <w:rPr>
          <w:rFonts w:ascii="Arial" w:cs="Arial" w:eastAsia="Arial" w:hAnsi="Arial"/>
          <w:sz w:val="24"/>
          <w:szCs w:val="24"/>
        </w:rPr>
        <w:t xml:space="preserve">ПУЭ</w:t>
      </w:r>
      <w:r>
        <w:rPr>
          <w:rFonts w:ascii="Arial" w:cs="Arial" w:eastAsia="Arial" w:hAnsi="Arial"/>
          <w:sz w:val="24"/>
          <w:szCs w:val="24"/>
        </w:rPr>
        <w:t xml:space="preserve">), главой СНиП по проектированию естественного и искусственного освещения, другими главами СНиП по инженерному оборудованию и настоящим разделом.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6.2</w:t>
      </w:r>
      <w:r>
        <w:rPr>
          <w:rFonts w:ascii="Arial" w:cs="Arial" w:eastAsia="Arial" w:hAnsi="Arial"/>
          <w:sz w:val="24"/>
          <w:szCs w:val="24"/>
        </w:rPr>
        <w:t xml:space="preserve">. Основные электропотребители средних и больших автовокзалов в отношении обеспечения надежности электроснабжения следует относить: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 I категории - установки пожаротушения, охранная и пожарная сигнализация согласно требованиям </w:t>
      </w:r>
      <w:r>
        <w:rPr>
          <w:rFonts w:ascii="Arial" w:cs="Arial" w:eastAsia="Arial" w:hAnsi="Arial"/>
          <w:sz w:val="24"/>
          <w:szCs w:val="24"/>
        </w:rPr>
        <w:t xml:space="preserve">СНиП 2.04.09-84</w:t>
      </w:r>
      <w:r>
        <w:rPr>
          <w:rFonts w:ascii="Arial" w:cs="Arial" w:eastAsia="Arial" w:hAnsi="Arial"/>
          <w:sz w:val="24"/>
          <w:szCs w:val="24"/>
        </w:rPr>
        <w:t xml:space="preserve"> и СП КР 21-101:2024;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 II категории - автоматизированные системы бронирования и продажи билетов, средства связи, сигнализации и оповещения, электросиловые устройства предприятий общественного питания, с числом посадочных мест - 50 и более, наружное освещение привокзальных площадей, расположенных вне населенных мест, перронов, автоматические камеры хранения ручного багажа;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 III категории - вентиляционное оборудование, внутренние и наружные световые указатели, рекламное и иллюминационное освещение и другие электроприемники бытового и хозяйственного назначения.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Светильники аварийного и эвакуационного освещения, указатели аварийных выходов, внутренних и наружных световых указателей, рекламного и иллюминационного освещения должны присоединяться к источнику, независимому по отношению к источнику, питающему рабочее освещение. Светильники эвакуационного освещения и указатели аварийных выходов допускается осуществлять по самостоятельным групповым линиям, начиная от вводно-распределительного устройства или трансформаторной подстанции (ТП).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проектах автостанций и малых автовокзалах перечисленные электроприемники II категории могут быть отнесены к III категории.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6.3</w:t>
      </w:r>
      <w:r>
        <w:rPr>
          <w:rFonts w:ascii="Arial" w:cs="Arial" w:eastAsia="Arial" w:hAnsi="Arial"/>
          <w:sz w:val="24"/>
          <w:szCs w:val="24"/>
        </w:rPr>
        <w:t xml:space="preserve">. При необходимости установки для электроснабжения вокзалов ТП их следует принимать встроенными в здание вокзала, либо в пристройках к нему. Допускается предусматривать и отдельно стоящие ТП.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6.4</w:t>
      </w:r>
      <w:r>
        <w:rPr>
          <w:rFonts w:ascii="Arial" w:cs="Arial" w:eastAsia="Arial" w:hAnsi="Arial"/>
          <w:sz w:val="24"/>
          <w:szCs w:val="24"/>
        </w:rPr>
        <w:t xml:space="preserve">. Наружное освещение вокзалов и автостанций, привокзальной площади и перрона должно иметь дистанционное управление, а внутреннее освещение помещений, предназначенных для пассажиров, - централизованное.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6.5</w:t>
      </w:r>
      <w:r>
        <w:rPr>
          <w:rFonts w:ascii="Arial" w:cs="Arial" w:eastAsia="Arial" w:hAnsi="Arial"/>
          <w:sz w:val="24"/>
          <w:szCs w:val="24"/>
        </w:rPr>
        <w:t xml:space="preserve">. Эвакуационное освещение должно предусматриваться в следующих помещениях и сооружениях вокзалов: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вестибюлях, кассовых залах, коридорах, переходах, галереях, лестницах, а также в пешеходных тоннелях, на пешеходных мостах и перронах;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помещениях, в которых одновременно может находиться более 100 человек;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диспетчерских, радиоузлах, помещениях связи, комнатах матери и ребенка, сберегательных кассах, щитовых помещениях вводно-распределительных устройств.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Аварийное освещение должно предусматриваться в кабинетах билетных касс, в помещениях транспортной милиции, в пунктах централизованного управления системами инженерного оборудования.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6.6</w:t>
      </w:r>
      <w:r>
        <w:rPr>
          <w:rFonts w:ascii="Arial" w:cs="Arial" w:eastAsia="Arial" w:hAnsi="Arial"/>
          <w:sz w:val="24"/>
          <w:szCs w:val="24"/>
        </w:rPr>
        <w:t xml:space="preserve">. Освещенность в помещениях вокзалов и автостанций следует принимать по таблице 6.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3358"/>
        <w:gridCol w:w="1574"/>
        <w:gridCol w:w="1994"/>
        <w:gridCol w:w="1364"/>
        <w:gridCol w:w="1469"/>
      </w:tblGrid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и кассовые залы, билетные кассы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помещения отделений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медицинские пункты, служебные помещения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ожидания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Вестибюли, распределительные залы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приема и выдачи багажа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хранения ручной клади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B-1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матери и ребенка: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Г-0,8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Коридоры, пешеходные тоннели, галереи, главные лестницы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Звездочками отмечены помещения, в которых необходимо устройство местного освещения.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6.7</w:t>
      </w:r>
      <w:r>
        <w:rPr>
          <w:rFonts w:ascii="Arial" w:cs="Arial" w:eastAsia="Arial" w:hAnsi="Arial"/>
          <w:sz w:val="24"/>
          <w:szCs w:val="24"/>
        </w:rPr>
        <w:t xml:space="preserve">. Освещенность наружных территорий вокзалов следует принимать в соответствии с таблицей 7.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5038"/>
        <w:gridCol w:w="4729"/>
      </w:tblGrid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Перроны малых вокзалов и автостанций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Перроны средних и больших вокзалов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Пешеходные тоннели, крытые лестницы тоннелей: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днем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вечером и ночью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лестницы пешеходных тоннелей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для пешеходов</w:t>
            </w:r>
          </w:p>
        </w:tc>
        <w:tc>
          <w:tcPr>
            <w:tcW w:type="dxa" w:w="4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Нормы освещенности перронов принимаются одинаковыми при любых источниках света.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 - При наличии прикладного телевидения освещенность может быть увеличена.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6.8</w:t>
      </w:r>
      <w:r>
        <w:rPr>
          <w:rFonts w:ascii="Arial" w:cs="Arial" w:eastAsia="Arial" w:hAnsi="Arial"/>
          <w:sz w:val="24"/>
          <w:szCs w:val="24"/>
        </w:rPr>
        <w:t xml:space="preserve">. Молниезащиту зданий автовокзалов и автостанций следует предусматривать в соответствии с требованиями Инструкции по устройству молниезащиты зданий и сооружений.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СВЯЗЬ И СИГНАЛИЗАЦИЯ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автовокзалах и пассажирских автостанциях следует, как правило, предусматривать виды связи согласно таблице 8.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4347"/>
        <w:gridCol w:w="1696"/>
        <w:gridCol w:w="1166"/>
        <w:gridCol w:w="1166"/>
        <w:gridCol w:w="1166"/>
      </w:tblGrid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Телефонная связь: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Междугородняя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Информационно-справочная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Телеграфная (телетайпная) связь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Радиооповещение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Радиофикация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Громкоговорящая связь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Широковещательное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Электрочасофикация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 «кассир-пассажир»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Cвязь «кассир-оператор»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 Главный пульт рекомендуется устанавливать в кабинете начальника вокзала.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 Пульт управления передающими камерами и видеоконтрольное устройство (ВКУ) следует предусматривать в помещении старшего диспетчера службы организации перевозок, у дежурного по вокзалу должно устанавливаться выносное видеоконтрольное устройство.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sz w:val="24"/>
          <w:szCs w:val="24"/>
        </w:rPr>
        <w:t xml:space="preserve">***</w:t>
      </w:r>
      <w:r>
        <w:rPr>
          <w:rFonts w:ascii="Arial" w:cs="Arial" w:eastAsia="Arial" w:hAnsi="Arial"/>
          <w:sz w:val="24"/>
          <w:szCs w:val="24"/>
        </w:rPr>
        <w:t xml:space="preserve"> Телевизионные приемники, как правило, цветного изображения должны устанавливаться в залах ожидания пассажиров, игровой комнате матери и ребенка и др.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
 задания расчетного суточного отправления пассажиров для проектирования автовокзала (автостанции)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3947"/>
        <w:gridCol w:w="3012"/>
        <w:gridCol w:w="2804"/>
      </w:tblGrid>
      <w:tr>
        <w:tc>
          <w:tcPr>
            <w:tcW w:type="dxa" w:w="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Междугородные в том числе: транзитные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Пригородные в том числе: с интервалом движения автобусов менее 20 мин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Расчетное суточное отправление пассажиров необходимо определять из годового отправления, деленного на 365 дней, с учетом коэффициента сезонной неравномерности перевозок, принимаемого, как правило, равным 1,2. В случае отступления от этого необходимо привести соответствующие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                                                                  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ЭКСПЛИКАЦИЯ ЗДАНИЙ И СООРУЖЕНИЙ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9047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автостанции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 прибытия и отправления с навесом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Площадка межрейсового отстоя автобусов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Стоянка легковых автомобилей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Эстакада для осмотра автобусов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 1</w:t>
      </w:r>
      <w:r>
        <w:rPr>
          <w:rFonts w:ascii="Arial" w:cs="Arial" w:eastAsia="Arial" w:hAnsi="Arial"/>
          <w:sz w:val="24"/>
          <w:szCs w:val="24"/>
        </w:rPr>
        <w:t xml:space="preserve">Схема генерального плана автостанции вместимостью 50</w:t>
      </w:r>
      <w:r>
        <w:rPr>
          <w:rFonts w:ascii="Arial" w:cs="Arial" w:eastAsia="Arial" w:hAnsi="Arial"/>
          <w:sz w:val="24"/>
          <w:szCs w:val="24"/>
        </w:rPr>
        <w:t xml:space="preserve"> пассажиров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ЭКСПЛИКАЦИЯ ЗДАНИЙ И СООРУЖЕНИЙ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9047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автовокзала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 прибытия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 отправления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Закрепленные посты транзитных автобусов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Площадка межрейсового отстоя автобусов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Эстакада для осмотра автобусов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Стоянка автомобилей «такси»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Стоянка личных легковых автомобилей</w:t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 2 Схема генерального плана автовокзала вместимостью 300 пассажиров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 1</w:t>
      </w:r>
      <w:r>
        <w:rPr>
          <w:rFonts w:ascii="Arial" w:cs="Arial" w:eastAsia="Arial" w:hAnsi="Arial"/>
          <w:sz w:val="24"/>
          <w:szCs w:val="24"/>
        </w:rPr>
        <w:t xml:space="preserve"> Прямолинейный перрон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Геометрические параметры</w:t>
            </w:r>
          </w:p>
        </w:tc>
      </w:tr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 2</w:t>
      </w:r>
      <w:r>
        <w:rPr>
          <w:rFonts w:ascii="Arial" w:cs="Arial" w:eastAsia="Arial" w:hAnsi="Arial"/>
          <w:sz w:val="24"/>
          <w:szCs w:val="24"/>
        </w:rPr>
        <w:t xml:space="preserve"> Уступообразный перрон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Рис. 3</w:t>
      </w:r>
      <w:r>
        <w:rPr>
          <w:rFonts w:ascii="Arial" w:cs="Arial" w:eastAsia="Arial" w:hAnsi="Arial"/>
          <w:sz w:val="24"/>
          <w:szCs w:val="24"/>
        </w:rPr>
        <w:t xml:space="preserve"> Гребенчатый перрон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Рекомендуемое штатное расписание, в том числе количество работающих в наиболее многочисленной смене (чел.)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259"/>
        <w:gridCol w:w="420"/>
        <w:gridCol w:w="420"/>
        <w:gridCol w:w="420"/>
        <w:gridCol w:w="420"/>
        <w:gridCol w:w="525"/>
        <w:gridCol w:w="525"/>
        <w:gridCol w:w="525"/>
        <w:gridCol w:w="525"/>
        <w:gridCol w:w="525"/>
        <w:gridCol w:w="525"/>
        <w:gridCol w:w="630"/>
        <w:gridCol w:w="630"/>
        <w:gridCol w:w="630"/>
        <w:gridCol w:w="630"/>
        <w:gridCol w:w="630"/>
        <w:gridCol w:w="630"/>
      </w:tblGrid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диспетчер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Перронный контролер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Носильщик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узла связи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 оповещения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Кассиры (включая предварительную продажу билетов)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билетных касс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распределения мест по кассам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Инкассатор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вокзалу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Информатор справочного бюро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помещениям пассажиров с детьми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камере хранения, оборудованной автом. ячейками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 камеры хранения, оборудованной стеллажами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эксплуатации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механического оборудования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Монтер связи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 сантехник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охраны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штатному расписанию в т.ч. в максимальную смену</w:t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Количество работающих для приема выручки от водителей (кондукторов), обслуживания автоматизированной системы управления и информации, автоматических касс продажи билетов, а также дежурных в комнатах ночного отдыха водителей определяется заданием и техническими условиями.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Количество персонала по обслуживанию механизированной мойки и оборудования подогрева двигателей автобусов определяется согласно </w:t>
      </w:r>
      <w:r>
        <w:rPr>
          <w:rFonts w:ascii="Arial" w:cs="Arial" w:eastAsia="Arial" w:hAnsi="Arial"/>
          <w:sz w:val="24"/>
          <w:szCs w:val="24"/>
        </w:rPr>
        <w:t xml:space="preserve">ОНТП-01</w:t>
      </w:r>
      <w:r>
        <w:rPr>
          <w:rFonts w:ascii="Arial" w:cs="Arial" w:eastAsia="Arial" w:hAnsi="Arial"/>
          <w:sz w:val="24"/>
          <w:szCs w:val="24"/>
        </w:rPr>
        <w:t xml:space="preserve">-89.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 автостанциях с суточным отправлением 100 - 200 пассажиров должности начальника и диспетчера совмещены.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расчёта количества постов отправления, прибытия и постов межрейсового отстоя автобусов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Расчетное суточное отправление - 6000 пассажиров,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 40 % - междугородние сообщения - 2400 пас.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 % - пригородные сообщения - 3600 пас.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таблице 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междугородних сообщений: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постов: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отправления - 8×0,4 = 3,2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прибытия - 4×0,4 = 1,6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межрейсового отстоя - 16×0,4 = 6,4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пригородных сообщений: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постов: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отправления - 4×0,6 = 2,4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прибытия - 2×0,6 = 1,2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межрейсового отстоя - 18×0,6 = 10,8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Суммарное количество постов: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отправления - 3,2 + 2,4 = 5,6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прибытия - 1,6 + 1,2 = 2,8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межрейсового отстоя - 6,4 + 10,8 = 17,2 поста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_yk03psqcp7rll06g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dalil.kg/document/230030449</w:t>
      </w:r>
    </w:hyperlink>
  </w:p>
  <w:p>
    <w:pPr>
      <w:spacing w:after="0" w:before="40"/>
      <w:jc w:val="center"/>
    </w:pPr>
    <w:hyperlink w:history="1" r:id="rIddi47ejjbdqwie905dyb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-gjjoytregkphhswf77" Type="http://schemas.openxmlformats.org/officeDocument/2006/relationships/hyperlink" Target="https://dalil.kg/document/230030434" TargetMode="External"/><Relationship Id="rIdyechzkbkmmgtlik9glpzd" Type="http://schemas.openxmlformats.org/officeDocument/2006/relationships/hyperlink" Target="https://dalil.kg/document/219" TargetMode="External"/><Relationship Id="rIdruiqtyvcujhvkp8v5rswm" Type="http://schemas.openxmlformats.org/officeDocument/2006/relationships/hyperlink" Target="https://dalil.kg/document/98479" TargetMode="External"/><Relationship Id="rIdfcw-qb4hzffk61g-xarxh" Type="http://schemas.openxmlformats.org/officeDocument/2006/relationships/hyperlink" Target="https://dalil.kg/document/98480" TargetMode="External"/><Relationship Id="rIdfy59fvwlpcansk6mpf7qc" Type="http://schemas.openxmlformats.org/officeDocument/2006/relationships/hyperlink" Target="https://dalil.kg/document/98481" TargetMode="External"/><Relationship Id="rIdwvnnuykv760f_w29tqei-" Type="http://schemas.openxmlformats.org/officeDocument/2006/relationships/hyperlink" Target="https://dalil.kg/document/11945" TargetMode="External"/><Relationship Id="rIdrxnjvpwkfl514jwlwmpty" Type="http://schemas.openxmlformats.org/officeDocument/2006/relationships/hyperlink" Target="https://dalil.kg/document/11949" TargetMode="External"/><Relationship Id="rIdggp3yguenke1nlpw3nnh_" Type="http://schemas.openxmlformats.org/officeDocument/2006/relationships/hyperlink" Target="https://dalil.kg/document/11951" TargetMode="External"/><Relationship Id="rIdjzg5c60ongw2cyo_2bxpj" Type="http://schemas.openxmlformats.org/officeDocument/2006/relationships/hyperlink" Target="https://dalil.kg/document/11954" TargetMode="External"/><Relationship Id="rIdfya7jxvhxvadyguzoo15w" Type="http://schemas.openxmlformats.org/officeDocument/2006/relationships/hyperlink" Target="https://dalil.kg/document/11958" TargetMode="External"/><Relationship Id="rIdbfy85zayyppnojwtf7vqv" Type="http://schemas.openxmlformats.org/officeDocument/2006/relationships/hyperlink" Target="https://dalil.kg/document/11959" TargetMode="External"/><Relationship Id="rIdhm3-62v8hyzks0acvlftb" Type="http://schemas.openxmlformats.org/officeDocument/2006/relationships/hyperlink" Target="https://dalil.kg/document/11960" TargetMode="External"/><Relationship Id="rIdeoumeklrok-ildxheyry4" Type="http://schemas.openxmlformats.org/officeDocument/2006/relationships/hyperlink" Target="https://dalil.kg/document/12904" TargetMode="External"/><Relationship Id="rIdj-nk1goettu1dtebir3zl" Type="http://schemas.openxmlformats.org/officeDocument/2006/relationships/hyperlink" Target="https://dalil.kg/document/12906" TargetMode="External"/><Relationship Id="rIdikbglafixsdjjeqy3dyzg" Type="http://schemas.openxmlformats.org/officeDocument/2006/relationships/hyperlink" Target="https://dalil.kg/document/230020240" TargetMode="External"/><Relationship Id="rIdilathwqbbiu0gue5alyet" Type="http://schemas.openxmlformats.org/officeDocument/2006/relationships/hyperlink" Target="https://dalil.kg/document/20030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_yk03psqcp7rll06gxt" Type="http://schemas.openxmlformats.org/officeDocument/2006/relationships/hyperlink" Target="https://dalil.kg/document/230030449" TargetMode="External"/><Relationship Id="rIddi47ejjbdqwie905dyb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2026-09-27T08:05:25.635Z</dcterms:created>
  <dcterms:modified xsi:type="dcterms:W3CDTF">2026-09-27T08:05:25.635Z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