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2025 года № 393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архитектурно-строительного контроля и надзора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прозрачной и подотчетной системы, минимизирующей риски коррупции при осуществлении контроля и надзора за строительной деятельностью, в соответствии со статьями </w:t>
      </w:r>
      <w:hyperlink w:history="1" r:id="rIdk-rwzlzmf2jv0-tqrsi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tqsoifpmuhs-i5wz73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yff2ntqpfyqr3lcmhm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Реестра разрешительных документов, выдаваемых органами исполнительной власти и их структурными подразделениями" от 25 февраля 2004 года № 103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66kc4gwaxo-ujbo2pg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 </w:t>
        </w:r>
      </w:hyperlink>
      <w:r>
        <w:rPr>
          <w:rFonts w:ascii="Arial" w:cs="Arial" w:eastAsia="Arial" w:hAnsi="Arial"/>
          <w:sz w:val="24"/>
          <w:szCs w:val="24"/>
        </w:rPr>
        <w:t xml:space="preserve">разрешительных документов, выдаваемых органами исполнительной власти и их структурными подразделениями,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"Государственное агентство по архитектуре и строительству при Правительстве Кыргызской Республики"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строительства, архитектуры и жилищно-коммунального хозяйства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Квалификационный сертификат специалиста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градостроительстве и архитектуре Кыргызской Республики"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государственного архитектурно-строительного контроля при Министерстве строительства, архитектуры и жилищно-коммунального хозяйства Кыргызской Республики и его территориальные 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объектов капитального строительства, реконструкции, перепрофилирования и перепланировки зданий в Реестр строящихся объектов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градостроительстве и архитектуре Кыргызской Республики"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подтверждения об окончании строительно-монтажных работ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градостроительстве и архитектуре Кыргызской Республики"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j9x97ofgbevbs44cbn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usiorgb4fvpce0q9hnn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классификации характеристик объектов строительства и порядке проведения государственного архитектурно-строительного надзора за объектами строительства, реконструкции и иными изменениями объектов недвижимости в Кыргызской Республике" от 10 февраля 2009 года № 95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rf29sk5kn2rv5xbrue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классификации характеристик объектов строительства и порядке проведения государственного архитектурно-строительного надзора за объектами строительства, реконструкции и иными изменениями объектов недвижимости в Кыргызской Республике, утвержденном вышеуказанным </w:t>
      </w:r>
      <w:hyperlink w:history="1" r:id="rIdqldbupt9m1e4bajhtqr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абзацами вторым, третьим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"Внесение объектов капитального строительства, реконструкции, перепрофилирования и перепланировки зданий в Реестр строящихся объектов осуществляется на платной основе, за исключением объектов, финансируемых за счет средств республиканского и местного бюджетов. Размер и порядок уплаты устанавливаются в соответствии с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надзору и контролю в сфере архитектурно-строительной деятельности вправе в целях повышения эффективности реализации задач государственного архитектурно-строительного надзора привлекать на договорной основе квалифицированных специалистов, в том числе из числа независимых экспертов, с оплатой их услуг за счет средств специального счета.";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35-1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"35-1. Субъекты строительства производят оплату за внесение объекта в Реестр строящихся объектов до подачи заявления в уполномоченный государственный орган по надзору и контролю в сфере архитектурно-строительной деятельности.".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переходного периода, установленного сроком на три месяца со дня вступления в силу настоящего постановления, финансирование деятельности Департамента государственного архитектурно-строительного контроля при Министерстве строительства, архитектуры и жилищно-коммунального хозяйства Кыргызской Республики, включая его территориальные управления, осуществляется Министерством финансов Кыргызской Республики в полном объеме;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настоящего постановления осуществляется в пределах средств и штатной численности, предусмотренных в республиканском бюджете Министерству строительства, архитектуры и жилищно-коммунального хозяйства Кыргызской Республики на соответствующий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ktcq5qg9997uc27ca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dalil.kg/document/230030725</w:t>
      </w:r>
    </w:hyperlink>
  </w:p>
  <w:p>
    <w:pPr>
      <w:spacing w:after="0" w:before="40"/>
      <w:jc w:val="center"/>
    </w:pPr>
    <w:hyperlink w:history="1" r:id="rId5pmiqbfzl-ek--5_vcs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-rwzlzmf2jv0-tqrsilz" Type="http://schemas.openxmlformats.org/officeDocument/2006/relationships/hyperlink" Target="https://dalil.kg/document/112301" TargetMode="External"/><Relationship Id="rIdztqsoifpmuhs-i5wz732p" Type="http://schemas.openxmlformats.org/officeDocument/2006/relationships/hyperlink" Target="https://dalil.kg/document/112301" TargetMode="External"/><Relationship Id="rIdmyff2ntqpfyqr3lcmhmze" Type="http://schemas.openxmlformats.org/officeDocument/2006/relationships/hyperlink" Target="https://dalil.kg/document/55105" TargetMode="External"/><Relationship Id="rIdo66kc4gwaxo-ujbo2pgzr" Type="http://schemas.openxmlformats.org/officeDocument/2006/relationships/hyperlink" Target="https://dalil.kg/document/55105" TargetMode="External"/><Relationship Id="rIdsj9x97ofgbevbs44cbnv0" Type="http://schemas.openxmlformats.org/officeDocument/2006/relationships/hyperlink" Target="https://dalil.kg/document/70048" TargetMode="External"/><Relationship Id="rIdusiorgb4fvpce0q9hnnmx" Type="http://schemas.openxmlformats.org/officeDocument/2006/relationships/hyperlink" Target="https://dalil.kg/document/90219" TargetMode="External"/><Relationship Id="rIderf29sk5kn2rv5xbruew6" Type="http://schemas.openxmlformats.org/officeDocument/2006/relationships/hyperlink" Target="https://dalil.kg/document/90219" TargetMode="External"/><Relationship Id="rIdqldbupt9m1e4bajhtqrr-" Type="http://schemas.openxmlformats.org/officeDocument/2006/relationships/hyperlink" Target="https://dalil.kg/document/7004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ktcq5qg9997uc27caly" Type="http://schemas.openxmlformats.org/officeDocument/2006/relationships/hyperlink" Target="https://dalil.kg/document/230030725" TargetMode="External"/><Relationship Id="rId5pmiqbfzl-ek--5_vcs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2026-09-25T15:37:35.411Z</dcterms:created>
  <dcterms:modified xsi:type="dcterms:W3CDTF">2026-09-25T15:37:35.411Z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