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567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разработке генеральных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планов населенных пунктов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2026–2030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обеспечения генеральными планами населенных пунктов Кыргызской Республики, в соответствии со статьями </w:t>
      </w:r>
      <w:hyperlink w:history="1" r:id="rIdpmsaa6lgp-shxi9iz-9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orwblg2k6b90ltxi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cksqfzxzptdrqiphh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разработке генеральных планов населенных пунктов Кыргызской Республики на 2026–2030 годы (далее – Программа)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gmqdcrplzy6qx4oze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 Кыргызской Республики, требующих разработки генеральных планов,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предусмотреть</w:t>
      </w:r>
      <w:r>
        <w:rPr>
          <w:rFonts w:ascii="Arial" w:cs="Arial" w:eastAsia="Arial" w:hAnsi="Arial"/>
          <w:sz w:val="24"/>
          <w:szCs w:val="24"/>
        </w:rPr>
        <w:t xml:space="preserve"> денежные средства в размере не менее 480 000 000 (четыреста восемьдесят миллионов) сомов на разработку генеральных планов населенных пунктов </w:t>
      </w:r>
      <w:r>
        <w:rPr>
          <w:rFonts w:ascii="Arial" w:cs="Arial" w:eastAsia="Arial" w:hAnsi="Arial"/>
          <w:sz w:val="24"/>
          <w:szCs w:val="24"/>
        </w:rPr>
        <w:t xml:space="preserve">при разработке</w:t>
      </w:r>
      <w:r>
        <w:rPr>
          <w:rFonts w:ascii="Arial" w:cs="Arial" w:eastAsia="Arial" w:hAnsi="Arial"/>
          <w:sz w:val="24"/>
          <w:szCs w:val="24"/>
        </w:rPr>
        <w:t xml:space="preserve">проекта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 на 2026 год и плановый период 2027–2028 год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ежегодно изыскивать и выделять в 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–2030 годы денежные средства не менее чем по 480 000 000 (четыреста восемьдесят миллионов) сомов органам местного самоуправления на разработку генеральных планов населенных пунктов Кыргызской Республики и топографических основ для генеральных планов.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представительным и исполнительным органам местного самоуправления Кыргызской Республики выступать заказчиками работ по разработке генеральных планов соответствующих населенных пунктов, предусматривать в ежегодных планах бюджетов средства для разработки генеральных планов в соответствии с пунктом 7 статьи 51 Закона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строительства, архитектуры и жилищно-коммунального хозяйства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проведение необходимой работы с органами местного самоуправления по разработке генеральных планов населенных пунктов соответствующих территорий, заключению договоров с проектными организациями и выполнению Программы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 постоянной основе работу с международными и другими инвестиционными организациями-донорами по привлечению средств для разработки различного уровня градостроительной документации и технических нормативов в сфере архитектурно-строительной деятельности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каждого полугодия не позднее 25 числа месяца, следующего за отчетным периодом, представлять в Администрацию Президента Кыргызской Республики отчет о ходе реализации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brfd0w3ude8cz4dvxv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Правительства Кыргызской Республики по разработке генеральных планов населенных пунктов Кыргызской Республики на 2018-2025 годы» от 17 августа 2017 года № 490;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oemc4fa5asvl7op3h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Программы Правительства Кыргызской Республики по разработке генеральных планов населенных пунктов Кыргызской Республики на 2018-2025 годы» от 17 августа 2017 года № 490» от 10 июня 2022 года № 313;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</w:t>
      </w:r>
      <w:hyperlink w:history="1" r:id="rIdfaqrttul9ma8cpvqfk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строительства, архитектуры и жилищно-коммунального хозяйства Кыргызской Республики» от 22 апреля 2025 года № 221.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сентября 2025 года № 68 (3724)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saa6lgp-shxi9iz-9rh" Type="http://schemas.openxmlformats.org/officeDocument/2006/relationships/hyperlink" Target="http://kodeks.duckdns.org/document/112301#st_13" TargetMode="External"/><Relationship Id="rIdcworwblg2k6b90ltxisey" Type="http://schemas.openxmlformats.org/officeDocument/2006/relationships/hyperlink" Target="http://kodeks.duckdns.org/document/112301#st_17" TargetMode="External"/><Relationship Id="rIdfcksqfzxzptdrqiphhnfc" Type="http://schemas.openxmlformats.org/officeDocument/2006/relationships/hyperlink" Target="http://kodeks.duckdns.org/document/230030735" TargetMode="External"/><Relationship Id="rIdbgmqdcrplzy6qx4ozeyof" Type="http://schemas.openxmlformats.org/officeDocument/2006/relationships/hyperlink" Target="http://kodeks.duckdns.org/document/230030736" TargetMode="External"/><Relationship Id="rIdobrfd0w3ude8cz4dvxv6m" Type="http://schemas.openxmlformats.org/officeDocument/2006/relationships/hyperlink" Target="http://kodeks.duckdns.org/document/100222" TargetMode="External"/><Relationship Id="rIdxoemc4fa5asvl7op3hvwr" Type="http://schemas.openxmlformats.org/officeDocument/2006/relationships/hyperlink" Target="http://kodeks.duckdns.org/document/159303" TargetMode="External"/><Relationship Id="rIdfaqrttul9ma8cpvqfkxoz" Type="http://schemas.openxmlformats.org/officeDocument/2006/relationships/hyperlink" Target="http://kodeks.duckdns.org/document/23002630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2026-09-23T00:32:55.549Z</dcterms:created>
  <dcterms:modified xsi:type="dcterms:W3CDTF">2026-09-23T00:32:55.549Z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