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нормативных правовых актов в области государственного пенсионного социального страхования» от 23 июля 2024 года № 411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административных барьеров,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kep61vej90eruxmxn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нормативных правовых актов в области государственного пенсионного социального страхования» от 23 июля 2024 года № 411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rkvi-6rdkv1rryvgsa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пенсий, перехода с одного вида пенсии на другой, а также обращения за выплатой ритуального пособия (на погребение),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48 слова «пунктами 44, 45» заменить словами «пунктами 45–47»;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51 слова «трехкратной базовой части пенсии –»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54 слово «справки» заменить словом «свидетельства»;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</w:t>
      </w:r>
      <w:r>
        <w:rPr>
          <w:rFonts w:ascii="Arial" w:cs="Arial" w:eastAsia="Arial" w:hAnsi="Arial"/>
          <w:sz w:val="24"/>
          <w:szCs w:val="24"/>
        </w:rPr>
        <w:t xml:space="preserve">),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</w:t>
      </w:r>
      <w:r>
        <w:rPr>
          <w:rFonts w:ascii="Arial" w:cs="Arial" w:eastAsia="Arial" w:hAnsi="Arial"/>
          <w:sz w:val="24"/>
          <w:szCs w:val="24"/>
        </w:rPr>
        <w:t xml:space="preserve">Все представленные копии документов в соответствии с настоящим Перечнем в обязательном порядке сверяются с их оригиналами органами, назначающими пенсию.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Цифровые документы, необходимые для назначения и перерасчета пенсии, перехода с одного вида пенсии на другой, а также выплаты ритуального пособия (на погребение), запрашиваемые из государственных органов в рамках межведомственного электронного обмена данными, предоставляются на безвозмездной основе, если иное не установлено законодательством Кыргызской Республики.»;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8: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«нотариально заверенная» исключить;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документы, подтверждающие, что иждивенцы являются учащимися профессиональных, средних и средних специальных учебных заведений или студентами высших учебных заведений.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обучения иждивенцев в иностранных образовательных учреждениях за пределами Кыргызской Республики предоставляются документы, подтверждающие факт их обучения, с приложением нотариально удостоверенного перевода на государственный или официальный язык.»;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2025 года № 66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3f3brzaluvz1nphrd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dalil.kg/document/230030748</w:t>
      </w:r>
    </w:hyperlink>
  </w:p>
  <w:p>
    <w:pPr>
      <w:spacing w:after="0" w:before="40"/>
      <w:jc w:val="center"/>
    </w:pPr>
    <w:hyperlink w:history="1" r:id="rIdyrcfhesvtajzbq7fygx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ep61vej90eruxmxngwq" Type="http://schemas.openxmlformats.org/officeDocument/2006/relationships/hyperlink" Target="https://dalil.kg/document/230012441" TargetMode="External"/><Relationship Id="rId-rkvi-6rdkv1rryvgsa79" Type="http://schemas.openxmlformats.org/officeDocument/2006/relationships/hyperlink" Target="https://dalil.kg/document/230012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3f3brzaluvz1nphrdpt" Type="http://schemas.openxmlformats.org/officeDocument/2006/relationships/hyperlink" Target="https://dalil.kg/document/230030748" TargetMode="External"/><Relationship Id="rIdyrcfhesvtajzbq7fygx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2026-09-25T14:08:06.917Z</dcterms:created>
  <dcterms:modified xsi:type="dcterms:W3CDTF">2026-09-25T14:08:06.917Z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