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30 июля 2025 года № 2025-П-12/38-3-(НПА)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нормативные правовые акты Национального банка Кыргызской Республики по вопросам торгового финансирования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ygxv0hn9qvkzfwehpeasn">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a2bvmzyriwdos_al87jqm">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afj0_cjyhya-m1hbijrls">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Правление Национального банка Кыргызской Республики постановляет: </w:t>
      </w:r>
    </w:p>
    <w:p>
      <w:pPr>
        <w:spacing w:after="120"/>
        <w:ind w:firstLine="567"/>
        <w:jc w:val="both"/>
      </w:pPr>
      <w:r>
        <w:rPr>
          <w:rFonts w:ascii="Arial" w:cs="Arial" w:eastAsia="Arial" w:hAnsi="Arial"/>
          <w:sz w:val="24"/>
          <w:szCs w:val="24"/>
        </w:rPr>
        <w:t xml:space="preserve">1. Внести изменения в следующие постановления Правления Национального банка Кыргызской Республики (</w:t>
      </w:r>
      <w:hyperlink w:history="1" r:id="rIdqgd23taazbev-_mplto9r">
        <w:r>
          <w:rPr>
            <w:rFonts w:ascii="Arial" w:cs="Arial" w:eastAsia="Arial" w:hAnsi="Arial"/>
            <w:color w:val="1D4ED8"/>
            <w:sz w:val="24"/>
            <w:szCs w:val="24"/>
            <w:u w:val="single"/>
          </w:rPr>
          <w:t xml:space="preserve">прилагаются</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"Об утверждении </w:t>
      </w:r>
      <w:hyperlink w:history="1" r:id="rId3el4iirg8aqpzs9klkpp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w:t>
      </w:r>
      <w:hyperlink w:history="1" r:id="rIdzhu3hh4bp6_wwy9e_zdd0">
        <w:r>
          <w:rPr>
            <w:rFonts w:ascii="Arial" w:cs="Arial" w:eastAsia="Arial" w:hAnsi="Arial"/>
            <w:color w:val="1D4ED8"/>
            <w:sz w:val="24"/>
            <w:szCs w:val="24"/>
            <w:u w:val="single"/>
          </w:rPr>
          <w:t xml:space="preserve">от 21 июля 2004 года № 18/3</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"Об утверждении </w:t>
      </w:r>
      <w:hyperlink w:history="1" r:id="rId1ruwwni-7zht0gqnguros">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w:t>
      </w:r>
      <w:hyperlink w:history="1" r:id="rIdmpdzbpczrbodxv5dwotvh">
        <w:r>
          <w:rPr>
            <w:rFonts w:ascii="Arial" w:cs="Arial" w:eastAsia="Arial" w:hAnsi="Arial"/>
            <w:color w:val="1D4ED8"/>
            <w:sz w:val="24"/>
            <w:szCs w:val="24"/>
            <w:u w:val="single"/>
          </w:rPr>
          <w:t xml:space="preserve">от 28 декабря 2009 года № 51/4</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w:t>
      </w:r>
      <w:hyperlink w:history="1" r:id="rIdcnifhllmtehwdf70db-vj">
        <w:r>
          <w:rPr>
            <w:rFonts w:ascii="Arial" w:cs="Arial" w:eastAsia="Arial" w:hAnsi="Arial"/>
            <w:color w:val="1D4ED8"/>
            <w:sz w:val="24"/>
            <w:szCs w:val="24"/>
            <w:u w:val="single"/>
          </w:rPr>
          <w:t xml:space="preserve">от 28 декабря 2009 года № 51/6</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w:t>
      </w:r>
      <w:r>
        <w:rPr>
          <w:rFonts w:ascii="Arial" w:cs="Arial" w:eastAsia="Arial" w:hAnsi="Arial"/>
          <w:sz w:val="24"/>
          <w:szCs w:val="24"/>
        </w:rPr>
        <w:t xml:space="preserve">от 12 октября 2022 года № 2022-П-12/63-1-(НПА)</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регулятивной банковской отчетности" </w:t>
      </w:r>
      <w:r>
        <w:rPr>
          <w:rFonts w:ascii="Arial" w:cs="Arial" w:eastAsia="Arial" w:hAnsi="Arial"/>
          <w:sz w:val="24"/>
          <w:szCs w:val="24"/>
        </w:rPr>
        <w:t xml:space="preserve">от 19 июля 2023 года № 2023-П-10/43-5-(НПА)</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 Юридическому управлению: </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 </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 </w:t>
      </w:r>
    </w:p>
    <w:p>
      <w:pPr>
        <w:spacing w:after="120"/>
        <w:ind w:firstLine="567"/>
        <w:jc w:val="both"/>
      </w:pPr>
      <w:r>
        <w:rPr>
          <w:rFonts w:ascii="Arial" w:cs="Arial" w:eastAsia="Arial" w:hAnsi="Arial"/>
          <w:sz w:val="24"/>
          <w:szCs w:val="24"/>
        </w:rPr>
        <w:t xml:space="preserve">3. Настоящее постановление вступает в силу с 1 января 2026 года, за исключением подпунктов 2 и 3 пункта 5 </w:t>
      </w:r>
      <w:hyperlink w:history="1" r:id="rIdu4qtmophbylikolwh_sd_">
        <w:r>
          <w:rPr>
            <w:rFonts w:ascii="Arial" w:cs="Arial" w:eastAsia="Arial" w:hAnsi="Arial"/>
            <w:color w:val="1D4ED8"/>
            <w:sz w:val="24"/>
            <w:szCs w:val="24"/>
            <w:u w:val="single"/>
          </w:rPr>
          <w:t xml:space="preserve">Приложения</w:t>
        </w:r>
      </w:hyperlink>
      <w:r>
        <w:rPr>
          <w:rFonts w:ascii="Arial" w:cs="Arial" w:eastAsia="Arial" w:hAnsi="Arial"/>
          <w:sz w:val="24"/>
          <w:szCs w:val="24"/>
        </w:rPr>
        <w:t xml:space="preserve"> к настоящему постановлению, которые вступают в силу со дня официального опубликования настоящего постановления. </w:t>
      </w:r>
    </w:p>
    <w:p>
      <w:pPr>
        <w:spacing w:after="120"/>
        <w:ind w:firstLine="567"/>
        <w:jc w:val="both"/>
      </w:pPr>
      <w:r>
        <w:rPr>
          <w:rFonts w:ascii="Arial" w:cs="Arial" w:eastAsia="Arial" w:hAnsi="Arial"/>
          <w:sz w:val="24"/>
          <w:szCs w:val="24"/>
        </w:rPr>
        <w:t xml:space="preserve">4. Управлению методологии надзора в течение 3 (трех) рабочих дней со дня официального опубликования довести настоящее постановление до сведения коммерческих банков, небанковских финансово-кредитных организаций, ОЮЛ "Союз банков Кыргызстана", ОЮЛ "Ассоциация микрофинансовых организаций", ОЮЛ "Национальная ассоциация кредитных союзов и кооперативов Кыргызстана", ОАО "Гарантийный фонд". </w:t>
      </w:r>
    </w:p>
    <w:p>
      <w:pPr>
        <w:spacing w:after="120"/>
        <w:ind w:firstLine="567"/>
        <w:jc w:val="both"/>
      </w:pPr>
      <w:r>
        <w:rPr>
          <w:rFonts w:ascii="Arial" w:cs="Arial" w:eastAsia="Arial" w:hAnsi="Arial"/>
          <w:sz w:val="24"/>
          <w:szCs w:val="24"/>
        </w:rPr>
        <w:t xml:space="preserve">5. Отделу "Секретариат Правления" в течение 3 (трех) рабочих дней со дня принятия настоящего постановления довести его до сведения управления методологии надзора, управления банковского надзора, управления надзора за небанковскими организациями и юридического управления. </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b/>
          <w:bCs/>
          <w:sz w:val="24"/>
          <w:szCs w:val="24"/>
        </w:rPr>
        <w:t xml:space="preserve">председателя </w:t>
      </w:r>
      <w:r>
        <w:rPr>
          <w:rFonts w:ascii="Arial" w:cs="Arial" w:eastAsia="Arial" w:hAnsi="Arial"/>
          <w:sz w:val="24"/>
          <w:szCs w:val="24"/>
        </w:rPr>
        <w:t xml:space="preserve">	</w:t>
      </w:r>
      <w:r>
        <w:rPr>
          <w:rFonts w:ascii="Arial" w:cs="Arial" w:eastAsia="Arial" w:hAnsi="Arial"/>
          <w:b/>
          <w:bCs/>
          <w:sz w:val="24"/>
          <w:szCs w:val="24"/>
        </w:rPr>
        <w:t xml:space="preserve">М. Аттокуров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к постановлению Правления Национального банка Кыргызской Республики
 от 30 июля 2025 года № 2025-П-12/38-3-(НПА)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ИЗМЕНЕНИЯ
 в некоторые нормативные правовые акты Национального банка Кыргызской Республики по вопросам торгового финансирования</w:t>
      </w:r>
    </w:p>
    <w:p>
      <w:pPr>
        <w:spacing w:after="120"/>
        <w:ind w:firstLine="567"/>
        <w:jc w:val="both"/>
      </w:pPr>
      <w:r>
        <w:rPr>
          <w:rFonts w:ascii="Arial" w:cs="Arial" w:eastAsia="Arial" w:hAnsi="Arial"/>
          <w:sz w:val="24"/>
          <w:szCs w:val="24"/>
        </w:rPr>
        <w:t xml:space="preserve">1. Внести в </w:t>
      </w:r>
      <w:hyperlink w:history="1" r:id="rIdu2m9v-xgdiee2zuqsbx1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solvy2bz-1sjolre2by2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от 21 июля 2004 года № 18/3 следующее изменение:</w:t>
      </w:r>
    </w:p>
    <w:p>
      <w:pPr>
        <w:spacing w:after="120"/>
        <w:ind w:firstLine="567"/>
        <w:jc w:val="both"/>
      </w:pPr>
      <w:r>
        <w:rPr>
          <w:rFonts w:ascii="Arial" w:cs="Arial" w:eastAsia="Arial" w:hAnsi="Arial"/>
          <w:sz w:val="24"/>
          <w:szCs w:val="24"/>
        </w:rPr>
        <w:t xml:space="preserve">в </w:t>
      </w:r>
      <w:hyperlink w:history="1" r:id="rIdsxdcz3mh7g7nnfto_q-ce">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w:history="1" r:id="rIdqglsigbxraqlppyowct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пункт 12.1 дополнить абзацем следующего содержания: </w:t>
      </w:r>
    </w:p>
    <w:p>
      <w:pPr>
        <w:spacing w:after="120"/>
        <w:ind w:firstLine="567"/>
        <w:jc w:val="both"/>
      </w:pPr>
      <w:r>
        <w:rPr>
          <w:rFonts w:ascii="Arial" w:cs="Arial" w:eastAsia="Arial" w:hAnsi="Arial"/>
          <w:sz w:val="24"/>
          <w:szCs w:val="24"/>
        </w:rPr>
        <w:t xml:space="preserve">"Банки могут классифицировать забалансовые обязательства независимо от валюты выдачи в категории "нормальные", если они соответствуют условиям, указанным в подпункте 1 пункта 30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Правления Национального банка от 12 октября 2022 года № 2022-П-12/63-1-(НПА).".</w:t>
      </w:r>
    </w:p>
    <w:p>
      <w:pPr>
        <w:spacing w:after="120"/>
        <w:ind w:firstLine="567"/>
        <w:jc w:val="both"/>
      </w:pPr>
      <w:r>
        <w:rPr>
          <w:rFonts w:ascii="Arial" w:cs="Arial" w:eastAsia="Arial" w:hAnsi="Arial"/>
          <w:sz w:val="24"/>
          <w:szCs w:val="24"/>
        </w:rPr>
        <w:t xml:space="preserve">2. Внести в </w:t>
      </w:r>
      <w:hyperlink w:history="1" r:id="rIdgcyfj5xbhm7inv50u-mx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u9ozg_o2sca6t7pyjfvz2">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от 28 декабря 2009 года № 51/4 следующее изменение: </w:t>
      </w:r>
    </w:p>
    <w:p>
      <w:pPr>
        <w:spacing w:after="120"/>
        <w:ind w:firstLine="567"/>
        <w:jc w:val="both"/>
      </w:pPr>
      <w:r>
        <w:rPr>
          <w:rFonts w:ascii="Arial" w:cs="Arial" w:eastAsia="Arial" w:hAnsi="Arial"/>
          <w:sz w:val="24"/>
          <w:szCs w:val="24"/>
        </w:rPr>
        <w:t xml:space="preserve">в </w:t>
      </w:r>
      <w:hyperlink w:history="1" r:id="rIdeydd6x1tnbezno_57qzli">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утвержденной вышеуказанным </w:t>
      </w:r>
      <w:hyperlink w:history="1" r:id="rIdsfr9n78dm45xck5fy2r_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пункт 29 изложить в следующей редакции: </w:t>
      </w:r>
    </w:p>
    <w:p>
      <w:pPr>
        <w:spacing w:after="120"/>
        <w:ind w:firstLine="567"/>
        <w:jc w:val="both"/>
      </w:pPr>
      <w:r>
        <w:rPr>
          <w:rFonts w:ascii="Arial" w:cs="Arial" w:eastAsia="Arial" w:hAnsi="Arial"/>
          <w:sz w:val="24"/>
          <w:szCs w:val="24"/>
        </w:rPr>
        <w:t xml:space="preserve">"29. Настоящей Инструкцией определяются следующие процентные размеры факторов кредитной конверсии для забалансовых обязательств: </w:t>
      </w:r>
    </w:p>
    <w:p>
      <w:pPr>
        <w:spacing w:after="120"/>
        <w:ind w:firstLine="567"/>
        <w:jc w:val="both"/>
      </w:pPr>
      <w:r>
        <w:rPr>
          <w:rFonts w:ascii="Arial" w:cs="Arial" w:eastAsia="Arial" w:hAnsi="Arial"/>
          <w:sz w:val="24"/>
          <w:szCs w:val="24"/>
        </w:rPr>
        <w:t xml:space="preserve">1) фактор кредитной конверсии - 10%: </w:t>
      </w:r>
    </w:p>
    <w:p>
      <w:pPr>
        <w:spacing w:after="120"/>
        <w:ind w:firstLine="567"/>
        <w:jc w:val="both"/>
      </w:pPr>
      <w:r>
        <w:rPr>
          <w:rFonts w:ascii="Arial" w:cs="Arial" w:eastAsia="Arial" w:hAnsi="Arial"/>
          <w:sz w:val="24"/>
          <w:szCs w:val="24"/>
        </w:rPr>
        <w:t xml:space="preserve">- забалансовые обязательства, по которым банк имеет право безусловного отзыва/аннулирования в любое время без предварительного уведомления клиента; </w:t>
      </w:r>
    </w:p>
    <w:p>
      <w:pPr>
        <w:spacing w:after="120"/>
        <w:ind w:firstLine="567"/>
        <w:jc w:val="both"/>
      </w:pPr>
      <w:r>
        <w:rPr>
          <w:rFonts w:ascii="Arial" w:cs="Arial" w:eastAsia="Arial" w:hAnsi="Arial"/>
          <w:sz w:val="24"/>
          <w:szCs w:val="24"/>
        </w:rPr>
        <w:t xml:space="preserve">2) фактор кредитной конверсии - 20% при соблюдении всех следующих условий одновременно: </w:t>
      </w:r>
    </w:p>
    <w:p>
      <w:pPr>
        <w:spacing w:after="120"/>
        <w:ind w:firstLine="567"/>
        <w:jc w:val="both"/>
      </w:pPr>
      <w:r>
        <w:rPr>
          <w:rFonts w:ascii="Arial" w:cs="Arial" w:eastAsia="Arial" w:hAnsi="Arial"/>
          <w:sz w:val="24"/>
          <w:szCs w:val="24"/>
        </w:rPr>
        <w:t xml:space="preserve">а) срок забалансового обязательства не превышает один год; </w:t>
      </w:r>
    </w:p>
    <w:p>
      <w:pPr>
        <w:spacing w:after="120"/>
        <w:ind w:firstLine="567"/>
        <w:jc w:val="both"/>
      </w:pPr>
      <w:r>
        <w:rPr>
          <w:rFonts w:ascii="Arial" w:cs="Arial" w:eastAsia="Arial" w:hAnsi="Arial"/>
          <w:sz w:val="24"/>
          <w:szCs w:val="24"/>
        </w:rPr>
        <w:t xml:space="preserve">б) забалансовое обязательство имеет прямую и непосредственную связь с поставкой или закупкой товаров или услуг в рамках международной торговли; </w:t>
      </w:r>
    </w:p>
    <w:p>
      <w:pPr>
        <w:spacing w:after="120"/>
        <w:ind w:firstLine="567"/>
        <w:jc w:val="both"/>
      </w:pPr>
      <w:r>
        <w:rPr>
          <w:rFonts w:ascii="Arial" w:cs="Arial" w:eastAsia="Arial" w:hAnsi="Arial"/>
          <w:sz w:val="24"/>
          <w:szCs w:val="24"/>
        </w:rPr>
        <w:t xml:space="preserve">в) по своей природе забалансовое обязательство является самоликвидирующимся, и его погашение или исполнение обусловлено предоставлением документов, относящихся к базовой торговой сделке; </w:t>
      </w:r>
    </w:p>
    <w:p>
      <w:pPr>
        <w:spacing w:after="120"/>
        <w:ind w:firstLine="567"/>
        <w:jc w:val="both"/>
      </w:pPr>
      <w:r>
        <w:rPr>
          <w:rFonts w:ascii="Arial" w:cs="Arial" w:eastAsia="Arial" w:hAnsi="Arial"/>
          <w:sz w:val="24"/>
          <w:szCs w:val="24"/>
        </w:rPr>
        <w:t xml:space="preserve">г) операция структурирована в соответствии с общепринятыми международными правилами и практикой в области торгового финансирования; </w:t>
      </w:r>
    </w:p>
    <w:p>
      <w:pPr>
        <w:spacing w:after="120"/>
        <w:ind w:firstLine="567"/>
        <w:jc w:val="both"/>
      </w:pPr>
      <w:r>
        <w:rPr>
          <w:rFonts w:ascii="Arial" w:cs="Arial" w:eastAsia="Arial" w:hAnsi="Arial"/>
          <w:sz w:val="24"/>
          <w:szCs w:val="24"/>
        </w:rPr>
        <w:t xml:space="preserve">3) фактор кредитной конверсии - 50%: </w:t>
      </w:r>
    </w:p>
    <w:p>
      <w:pPr>
        <w:spacing w:after="120"/>
        <w:ind w:firstLine="567"/>
        <w:jc w:val="both"/>
      </w:pPr>
      <w:r>
        <w:rPr>
          <w:rFonts w:ascii="Arial" w:cs="Arial" w:eastAsia="Arial" w:hAnsi="Arial"/>
          <w:sz w:val="24"/>
          <w:szCs w:val="24"/>
        </w:rPr>
        <w:t xml:space="preserve">а) забалансовые обязательства, связанные с конкретной сделкой (например, аккредитив, гарантирующий заказчику возмещение убытков при невыполнении подрядчиком своих обязательств в строительном проекте и другие подобные обязательства); </w:t>
      </w:r>
    </w:p>
    <w:p>
      <w:pPr>
        <w:spacing w:after="120"/>
        <w:ind w:firstLine="567"/>
        <w:jc w:val="both"/>
      </w:pPr>
      <w:r>
        <w:rPr>
          <w:rFonts w:ascii="Arial" w:cs="Arial" w:eastAsia="Arial" w:hAnsi="Arial"/>
          <w:sz w:val="24"/>
          <w:szCs w:val="24"/>
        </w:rPr>
        <w:t xml:space="preserve">б) краткосрочные самоликвидирующиеся обязательства, связанные с торговыми операциями (например, документарный аккредитив, обеспеченный отгрузкой товаров); </w:t>
      </w:r>
    </w:p>
    <w:p>
      <w:pPr>
        <w:spacing w:after="120"/>
        <w:ind w:firstLine="567"/>
        <w:jc w:val="both"/>
      </w:pPr>
      <w:r>
        <w:rPr>
          <w:rFonts w:ascii="Arial" w:cs="Arial" w:eastAsia="Arial" w:hAnsi="Arial"/>
          <w:sz w:val="24"/>
          <w:szCs w:val="24"/>
        </w:rPr>
        <w:t xml:space="preserve">4) фактор кредитной конверсии - 100%: </w:t>
      </w:r>
    </w:p>
    <w:p>
      <w:pPr>
        <w:spacing w:after="120"/>
        <w:ind w:firstLine="567"/>
        <w:jc w:val="both"/>
      </w:pPr>
      <w:r>
        <w:rPr>
          <w:rFonts w:ascii="Arial" w:cs="Arial" w:eastAsia="Arial" w:hAnsi="Arial"/>
          <w:sz w:val="24"/>
          <w:szCs w:val="24"/>
        </w:rPr>
        <w:t xml:space="preserve">а) обязательства по предоставлению актива; </w:t>
      </w:r>
    </w:p>
    <w:p>
      <w:pPr>
        <w:spacing w:after="120"/>
        <w:ind w:firstLine="567"/>
        <w:jc w:val="both"/>
      </w:pPr>
      <w:r>
        <w:rPr>
          <w:rFonts w:ascii="Arial" w:cs="Arial" w:eastAsia="Arial" w:hAnsi="Arial"/>
          <w:sz w:val="24"/>
          <w:szCs w:val="24"/>
        </w:rPr>
        <w:t xml:space="preserve">б) кредитные заменители (например, общие гарантии, резервные аккредитивы, гарантии по акцептованию), т.е. документы (независимо от названия), представляющие собой юридические обязательства банка по выплате средств третьей стороне, если клиент банка, от лица которого выдана гарантия или выдан аккредитив, не может выплатить средства, выданные авансом третьей стороне по договорному соглашению или подобным образом; </w:t>
      </w:r>
    </w:p>
    <w:p>
      <w:pPr>
        <w:spacing w:after="120"/>
        <w:ind w:firstLine="567"/>
        <w:jc w:val="both"/>
      </w:pPr>
      <w:r>
        <w:rPr>
          <w:rFonts w:ascii="Arial" w:cs="Arial" w:eastAsia="Arial" w:hAnsi="Arial"/>
          <w:sz w:val="24"/>
          <w:szCs w:val="24"/>
        </w:rPr>
        <w:t xml:space="preserve">в) соглашения о продаже с последующим выкупом и продажа активов с правом контрагента вернуть актив в определенных случаях; </w:t>
      </w:r>
    </w:p>
    <w:p>
      <w:pPr>
        <w:spacing w:after="120"/>
        <w:ind w:firstLine="567"/>
        <w:jc w:val="both"/>
      </w:pPr>
      <w:r>
        <w:rPr>
          <w:rFonts w:ascii="Arial" w:cs="Arial" w:eastAsia="Arial" w:hAnsi="Arial"/>
          <w:sz w:val="24"/>
          <w:szCs w:val="24"/>
        </w:rPr>
        <w:t xml:space="preserve">г) обязательства по покупке активов; </w:t>
      </w:r>
    </w:p>
    <w:p>
      <w:pPr>
        <w:spacing w:after="120"/>
        <w:ind w:firstLine="567"/>
        <w:jc w:val="both"/>
      </w:pPr>
      <w:r>
        <w:rPr>
          <w:rFonts w:ascii="Arial" w:cs="Arial" w:eastAsia="Arial" w:hAnsi="Arial"/>
          <w:sz w:val="24"/>
          <w:szCs w:val="24"/>
        </w:rPr>
        <w:t xml:space="preserve">д) прочие забалансовые обязательства, не вошедшие в предыдущие категории.".</w:t>
      </w:r>
    </w:p>
    <w:p>
      <w:pPr>
        <w:spacing w:after="120"/>
        <w:ind w:firstLine="567"/>
        <w:jc w:val="both"/>
      </w:pPr>
      <w:r>
        <w:rPr>
          <w:rFonts w:ascii="Arial" w:cs="Arial" w:eastAsia="Arial" w:hAnsi="Arial"/>
          <w:sz w:val="24"/>
          <w:szCs w:val="24"/>
        </w:rPr>
        <w:t xml:space="preserve">3. Внести в </w:t>
      </w:r>
      <w:hyperlink w:history="1" r:id="rIdslpvvpj0kxrztw_hooxl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28 декабря 2009 года № 51/6 следующее изменение: </w:t>
      </w:r>
    </w:p>
    <w:p>
      <w:pPr>
        <w:spacing w:after="120"/>
        <w:ind w:firstLine="567"/>
        <w:jc w:val="both"/>
      </w:pPr>
      <w:r>
        <w:rPr>
          <w:rFonts w:ascii="Arial" w:cs="Arial" w:eastAsia="Arial" w:hAnsi="Arial"/>
          <w:sz w:val="24"/>
          <w:szCs w:val="24"/>
        </w:rPr>
        <w:t xml:space="preserve">в </w:t>
      </w:r>
      <w:hyperlink w:history="1" r:id="rIdgzyoltkyoambqjro-rhn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 утвержденном вышеуказанным </w:t>
      </w:r>
      <w:hyperlink w:history="1" r:id="rIdajp4ikvcchc2bqla4juc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 пункт 42 дополнить абзацем следующего содержания: </w:t>
      </w:r>
    </w:p>
    <w:p>
      <w:pPr>
        <w:spacing w:after="120"/>
        <w:ind w:firstLine="567"/>
        <w:jc w:val="both"/>
      </w:pPr>
      <w:r>
        <w:rPr>
          <w:rFonts w:ascii="Arial" w:cs="Arial" w:eastAsia="Arial" w:hAnsi="Arial"/>
          <w:sz w:val="24"/>
          <w:szCs w:val="24"/>
        </w:rPr>
        <w:t xml:space="preserve">"Банки могут классифицировать забалансовые обязательства независимо от валюты выдачи в категории "нормальные", если они соответствуют условиям фактора кредитной конверсии в размере 20%, указанным в пункте 29 </w:t>
      </w:r>
      <w:hyperlink w:history="1" r:id="rIdywz0wyfdnh21omqcybs5c">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банков, осуществляющих операции в соответствии с исламскими принципами банковского дела и финансирования, утвержденной </w:t>
      </w:r>
      <w:hyperlink w:history="1" r:id="rIdgvz0r7zbzbypljuccow3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от 28 декабря 2009 г. № 51/4.".</w:t>
      </w:r>
    </w:p>
    <w:p>
      <w:pPr>
        <w:spacing w:after="120"/>
        <w:ind w:firstLine="567"/>
        <w:jc w:val="both"/>
      </w:pPr>
      <w:r>
        <w:rPr>
          <w:rFonts w:ascii="Arial" w:cs="Arial" w:eastAsia="Arial" w:hAnsi="Arial"/>
          <w:sz w:val="24"/>
          <w:szCs w:val="24"/>
        </w:rPr>
        <w:t xml:space="preserve">4.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12 октября 2022 года № 2022-П-12/63-1-(НПА) следующие изменения: </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Инструкции</w:t>
      </w:r>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1) пункт 30 изложить в следующей редакции: </w:t>
      </w:r>
    </w:p>
    <w:p>
      <w:pPr>
        <w:spacing w:after="120"/>
        <w:ind w:firstLine="567"/>
        <w:jc w:val="both"/>
      </w:pPr>
      <w:r>
        <w:rPr>
          <w:rFonts w:ascii="Arial" w:cs="Arial" w:eastAsia="Arial" w:hAnsi="Arial"/>
          <w:sz w:val="24"/>
          <w:szCs w:val="24"/>
        </w:rPr>
        <w:t xml:space="preserve">"30. Настоящей </w:t>
      </w:r>
      <w:r>
        <w:rPr>
          <w:rFonts w:ascii="Arial" w:cs="Arial" w:eastAsia="Arial" w:hAnsi="Arial"/>
          <w:sz w:val="24"/>
          <w:szCs w:val="24"/>
        </w:rPr>
        <w:t xml:space="preserve">Инструкцией</w:t>
      </w:r>
      <w:r>
        <w:rPr>
          <w:rFonts w:ascii="Arial" w:cs="Arial" w:eastAsia="Arial" w:hAnsi="Arial"/>
          <w:sz w:val="24"/>
          <w:szCs w:val="24"/>
        </w:rPr>
        <w:t xml:space="preserve"> определяются следующие процентные размеры факторов кредитной конверсии для забалансовых обязательств: </w:t>
      </w:r>
    </w:p>
    <w:p>
      <w:pPr>
        <w:spacing w:after="120"/>
        <w:ind w:firstLine="567"/>
        <w:jc w:val="both"/>
      </w:pPr>
      <w:r>
        <w:rPr>
          <w:rFonts w:ascii="Arial" w:cs="Arial" w:eastAsia="Arial" w:hAnsi="Arial"/>
          <w:sz w:val="24"/>
          <w:szCs w:val="24"/>
        </w:rPr>
        <w:t xml:space="preserve">1) низкий риск (фактор кредитной конверсии - 20%) при соблюдении всех следующих условий одновременно: </w:t>
      </w:r>
    </w:p>
    <w:p>
      <w:pPr>
        <w:spacing w:after="120"/>
        <w:ind w:firstLine="567"/>
        <w:jc w:val="both"/>
      </w:pPr>
      <w:r>
        <w:rPr>
          <w:rFonts w:ascii="Arial" w:cs="Arial" w:eastAsia="Arial" w:hAnsi="Arial"/>
          <w:sz w:val="24"/>
          <w:szCs w:val="24"/>
        </w:rPr>
        <w:t xml:space="preserve">а) срок забалансового обязательства не превышает один год; </w:t>
      </w:r>
    </w:p>
    <w:p>
      <w:pPr>
        <w:spacing w:after="120"/>
        <w:ind w:firstLine="567"/>
        <w:jc w:val="both"/>
      </w:pPr>
      <w:r>
        <w:rPr>
          <w:rFonts w:ascii="Arial" w:cs="Arial" w:eastAsia="Arial" w:hAnsi="Arial"/>
          <w:sz w:val="24"/>
          <w:szCs w:val="24"/>
        </w:rPr>
        <w:t xml:space="preserve">б) забалансовое обязательство имеет прямую и непосредственную связь с поставкой или закупкой товаров или услуг в рамках международной торговли; </w:t>
      </w:r>
    </w:p>
    <w:p>
      <w:pPr>
        <w:spacing w:after="120"/>
        <w:ind w:firstLine="567"/>
        <w:jc w:val="both"/>
      </w:pPr>
      <w:r>
        <w:rPr>
          <w:rFonts w:ascii="Arial" w:cs="Arial" w:eastAsia="Arial" w:hAnsi="Arial"/>
          <w:sz w:val="24"/>
          <w:szCs w:val="24"/>
        </w:rPr>
        <w:t xml:space="preserve">в) по своей природе забалансовое обязательство является самоликвидирующимся, и его погашение или исполнение обусловлено предоставлением документов, относящихся к базовой торговой сделке; </w:t>
      </w:r>
    </w:p>
    <w:p>
      <w:pPr>
        <w:spacing w:after="120"/>
        <w:ind w:firstLine="567"/>
        <w:jc w:val="both"/>
      </w:pPr>
      <w:r>
        <w:rPr>
          <w:rFonts w:ascii="Arial" w:cs="Arial" w:eastAsia="Arial" w:hAnsi="Arial"/>
          <w:sz w:val="24"/>
          <w:szCs w:val="24"/>
        </w:rPr>
        <w:t xml:space="preserve">г) операция структурирована в соответствии с общепринятыми международными правилами и практикой в области торгового финансирования; </w:t>
      </w:r>
    </w:p>
    <w:p>
      <w:pPr>
        <w:spacing w:after="120"/>
        <w:ind w:firstLine="567"/>
        <w:jc w:val="both"/>
      </w:pPr>
      <w:r>
        <w:rPr>
          <w:rFonts w:ascii="Arial" w:cs="Arial" w:eastAsia="Arial" w:hAnsi="Arial"/>
          <w:sz w:val="24"/>
          <w:szCs w:val="24"/>
        </w:rPr>
        <w:t xml:space="preserve">2) средний риск (фактор кредитной конверсии - 50%): </w:t>
      </w:r>
    </w:p>
    <w:p>
      <w:pPr>
        <w:spacing w:after="120"/>
        <w:ind w:firstLine="567"/>
        <w:jc w:val="both"/>
      </w:pPr>
      <w:r>
        <w:rPr>
          <w:rFonts w:ascii="Arial" w:cs="Arial" w:eastAsia="Arial" w:hAnsi="Arial"/>
          <w:sz w:val="24"/>
          <w:szCs w:val="24"/>
        </w:rPr>
        <w:t xml:space="preserve">а) забалансовые обязательства, связанные с конкретной сделкой (например, аккредитив, гарантирующий заказчику возмещение убытков при невыполнении подрядчиком своих обязательств в строительном проекте и другие подобные обязательства); </w:t>
      </w:r>
    </w:p>
    <w:p>
      <w:pPr>
        <w:spacing w:after="120"/>
        <w:ind w:firstLine="567"/>
        <w:jc w:val="both"/>
      </w:pPr>
      <w:r>
        <w:rPr>
          <w:rFonts w:ascii="Arial" w:cs="Arial" w:eastAsia="Arial" w:hAnsi="Arial"/>
          <w:sz w:val="24"/>
          <w:szCs w:val="24"/>
        </w:rPr>
        <w:t xml:space="preserve">б) краткосрочные самоликвидирующиеся обязательства, связанные с торговыми операциями (например, документарный аккредитив, обеспеченный отгрузкой товаров); </w:t>
      </w:r>
    </w:p>
    <w:p>
      <w:pPr>
        <w:spacing w:after="120"/>
        <w:ind w:firstLine="567"/>
        <w:jc w:val="both"/>
      </w:pPr>
      <w:r>
        <w:rPr>
          <w:rFonts w:ascii="Arial" w:cs="Arial" w:eastAsia="Arial" w:hAnsi="Arial"/>
          <w:sz w:val="24"/>
          <w:szCs w:val="24"/>
        </w:rPr>
        <w:t xml:space="preserve">3) полный риск (фактор кредитной конверсии - 100%):</w:t>
      </w:r>
    </w:p>
    <w:p>
      <w:pPr>
        <w:spacing w:after="120"/>
        <w:ind w:firstLine="567"/>
        <w:jc w:val="both"/>
      </w:pPr>
      <w:r>
        <w:rPr>
          <w:rFonts w:ascii="Arial" w:cs="Arial" w:eastAsia="Arial" w:hAnsi="Arial"/>
          <w:sz w:val="24"/>
          <w:szCs w:val="24"/>
        </w:rPr>
        <w:t xml:space="preserve">а) обязательства на выдачу кредитов; </w:t>
      </w:r>
    </w:p>
    <w:p>
      <w:pPr>
        <w:spacing w:after="120"/>
        <w:ind w:firstLine="567"/>
        <w:jc w:val="both"/>
      </w:pPr>
      <w:r>
        <w:rPr>
          <w:rFonts w:ascii="Arial" w:cs="Arial" w:eastAsia="Arial" w:hAnsi="Arial"/>
          <w:sz w:val="24"/>
          <w:szCs w:val="24"/>
        </w:rPr>
        <w:t xml:space="preserve">б) прямые кредитные заменители (например, общие гарантии по кредитам, резервные аккредитивы, гарантии по акцептованию), т.е. документы (независимо от названия), представляющие собой юридические обязательства банка по выплате средств третьей стороне, если клиент банка, от лица которого выдана гарантия или выдан аккредитив, не может выплатить средства, выданные авансом третьей стороне по контрактному соглашению или подобным образом; </w:t>
      </w:r>
    </w:p>
    <w:p>
      <w:pPr>
        <w:spacing w:after="120"/>
        <w:ind w:firstLine="567"/>
        <w:jc w:val="both"/>
      </w:pPr>
      <w:r>
        <w:rPr>
          <w:rFonts w:ascii="Arial" w:cs="Arial" w:eastAsia="Arial" w:hAnsi="Arial"/>
          <w:sz w:val="24"/>
          <w:szCs w:val="24"/>
        </w:rPr>
        <w:t xml:space="preserve">в) соглашения о продаже с последующим выкупом и продажа активов, с правом контрагента вернуть актив в определенных случаях; </w:t>
      </w:r>
    </w:p>
    <w:p>
      <w:pPr>
        <w:spacing w:after="120"/>
        <w:ind w:firstLine="567"/>
        <w:jc w:val="both"/>
      </w:pPr>
      <w:r>
        <w:rPr>
          <w:rFonts w:ascii="Arial" w:cs="Arial" w:eastAsia="Arial" w:hAnsi="Arial"/>
          <w:sz w:val="24"/>
          <w:szCs w:val="24"/>
        </w:rPr>
        <w:t xml:space="preserve">г) обязательства по покупке активов; </w:t>
      </w:r>
    </w:p>
    <w:p>
      <w:pPr>
        <w:spacing w:after="120"/>
        <w:ind w:firstLine="567"/>
        <w:jc w:val="both"/>
      </w:pPr>
      <w:r>
        <w:rPr>
          <w:rFonts w:ascii="Arial" w:cs="Arial" w:eastAsia="Arial" w:hAnsi="Arial"/>
          <w:sz w:val="24"/>
          <w:szCs w:val="24"/>
        </w:rPr>
        <w:t xml:space="preserve">д) все прочие забалансовые обязательства, не вошедшие в предыдущие категории.";</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Приложение</w:t>
      </w:r>
      <w:r>
        <w:rPr>
          <w:rFonts w:ascii="Arial" w:cs="Arial" w:eastAsia="Arial" w:hAnsi="Arial"/>
          <w:sz w:val="24"/>
          <w:szCs w:val="24"/>
        </w:rPr>
        <w:t xml:space="preserve"> к Инструкции изложить в следующей редакции: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w:t>
      </w:r>
      <w:r>
        <w:rPr>
          <w:rFonts w:ascii="Arial" w:cs="Arial" w:eastAsia="Arial" w:hAnsi="Arial"/>
          <w:sz w:val="24"/>
          <w:szCs w:val="24"/>
        </w:rPr>
        <w:t xml:space="preserve">к Инструкции по определению стандартов достаточности (адекватности) капитала коммерческих банков Кыргызской Республики, утвержденной постановлением Правления Национального банка Кыргызской Республики
 от 12 октября 2022 года № 2022-П-12/63-1-(НПА)</w:t>
      </w:r>
    </w:p>
    <w:p>
      <w:pPr>
        <w:spacing w:after="240" w:before="200"/>
        <w:jc w:val="center"/>
      </w:pPr>
      <w:r>
        <w:rPr>
          <w:rFonts w:ascii="Arial" w:cs="Arial" w:eastAsia="Arial" w:hAnsi="Arial"/>
          <w:b/>
          <w:bCs/>
          <w:sz w:val="32"/>
          <w:szCs w:val="32"/>
        </w:rPr>
        <w:t xml:space="preserve">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0"/>
        <w:gridCol w:w="4654"/>
        <w:gridCol w:w="1149"/>
        <w:gridCol w:w="1880"/>
        <w:gridCol w:w="1545"/>
      </w:tblGrid>
      <w:tr>
        <w:tc>
          <w:tcPr>
            <w:tcW w:type="dxa" w:w="9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p>
        </w:tc>
        <w:tc>
          <w:tcPr>
            <w:tcW w:type="dxa" w:w="1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балансу</w:t>
            </w:r>
          </w:p>
        </w:tc>
        <w:tc>
          <w:tcPr>
            <w:tcW w:type="dxa" w:w="18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Кредитный риск, %</w:t>
            </w:r>
          </w:p>
        </w:tc>
        <w:tc>
          <w:tcPr>
            <w:tcW w:type="dxa" w:w="1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Взвешенное значение</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Банкноты и монеты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Денежные активы в расчетах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Корреспондентский счет в НБКР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в коммерческих банках Кыргызской Республики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в коммерческих банках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Корреспондентские счета в иностранных банках, кроме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Золото и другие драгоценные металлы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Межбанковские депозиты в коммерческих банках Кыргызской Республики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Межбанковские депозиты в банках и финансовых организациях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Межбанковские депозиты в иностранных банках и финансовых организациях, кроме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Краткосрочные межбанковские размещения до 7 дней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по РЕПО-соглашениям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ПОРТФЕЛЬ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0"/>
        <w:gridCol w:w="4654"/>
        <w:gridCol w:w="1149"/>
        <w:gridCol w:w="1880"/>
        <w:gridCol w:w="1545"/>
      </w:tblGrid>
      <w:tr>
        <w:tc>
          <w:tcPr>
            <w:tcW w:type="dxa" w:w="9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p>
        </w:tc>
        <w:tc>
          <w:tcPr>
            <w:tcW w:type="dxa" w:w="1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балансу</w:t>
            </w:r>
          </w:p>
        </w:tc>
        <w:tc>
          <w:tcPr>
            <w:tcW w:type="dxa" w:w="18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Кредитный риск, %</w:t>
            </w:r>
          </w:p>
        </w:tc>
        <w:tc>
          <w:tcPr>
            <w:tcW w:type="dxa" w:w="1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Взвешенное значение</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правительством КР и/или НБКР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местными органами власти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Правительствами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Ценные бумаги, выпущенные иностранными правительствами стран, кроме правительств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Долговые ценные бумаги кыргызских компаний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Долговые ценные бумаги компаний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Долговые ценные бумаги иностранных компаний, кроме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кыргызских компаний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банков и других финансово-кредитных организаций КР (менее 20%)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компаний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банков и других финансово-кредитных организаций стран СНГ (менее 20%)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компаний КР и стран СНГ, не подлежащие амортизации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банков и других финансово-кредитных организаций КР и стран СНГ, не подлежащие амортизации (менее 20%)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иностранных компаний, кроме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Капитальные ценные бумаги иностранных банков и других финансово-кредитных организаций, кроме стран СНГ (менее 20%)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капитальных ценных бумаг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КРЕДИТЫ И ЛИЗИНГИ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0"/>
        <w:gridCol w:w="4654"/>
        <w:gridCol w:w="1149"/>
        <w:gridCol w:w="1880"/>
        <w:gridCol w:w="1545"/>
      </w:tblGrid>
      <w:tr>
        <w:tc>
          <w:tcPr>
            <w:tcW w:type="dxa" w:w="9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p>
        </w:tc>
        <w:tc>
          <w:tcPr>
            <w:tcW w:type="dxa" w:w="1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балансу</w:t>
            </w:r>
          </w:p>
        </w:tc>
        <w:tc>
          <w:tcPr>
            <w:tcW w:type="dxa" w:w="18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Кредитный риск, %</w:t>
            </w:r>
          </w:p>
        </w:tc>
        <w:tc>
          <w:tcPr>
            <w:tcW w:type="dxa" w:w="15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Взвешенное значение</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банкам Кыргызской Республики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банкам и финансовым организациям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иностранным банкам и финансовым организациям, кроме стран СНГ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негосударственному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физическим лицам для личных целей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негосударственному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Ипотечные кредиты физическим лицам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негосударственному сектору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строительство физическим лицам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Кредиты на капитальную аренду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предоставленное по договорам мушарака, мудараба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361.9</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средства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собственность банка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банках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финансовых организациях, кроме банков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и финансовое участие в неконсолидированных нефинансовых организациях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Начисленные проценты к получению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420.8</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420.9</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активы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430.1</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Нематериальные активы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Вычет из капитала</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430.2</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Остальная часть прочих активов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430.3</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430.4</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430.5</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430.6</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430.7</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балансовых активов (сумма ст.10-430)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1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1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2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3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4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5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6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7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8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категории 9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46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вычетов из капитала </w:t>
            </w:r>
          </w:p>
        </w:tc>
        <w:tc>
          <w:tcPr>
            <w:tcW w:type="dxa" w:w="1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ЗАБАЛАНСОВЫЕ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2"/>
        <w:gridCol w:w="3405"/>
        <w:gridCol w:w="1114"/>
        <w:gridCol w:w="1562"/>
        <w:gridCol w:w="1542"/>
        <w:gridCol w:w="1603"/>
      </w:tblGrid>
      <w:tr>
        <w:tc>
          <w:tcPr>
            <w:tcW w:type="dxa" w:w="9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40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p>
        </w:tc>
        <w:tc>
          <w:tcPr>
            <w:tcW w:type="dxa" w:w="111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балансу</w:t>
            </w:r>
          </w:p>
        </w:tc>
        <w:tc>
          <w:tcPr>
            <w:tcW w:type="dxa" w:w="156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Фактор кредитной конверсии, %</w:t>
            </w:r>
          </w:p>
        </w:tc>
        <w:tc>
          <w:tcPr>
            <w:tcW w:type="dxa" w:w="15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Кредитный риск, %</w:t>
            </w:r>
          </w:p>
        </w:tc>
        <w:tc>
          <w:tcPr>
            <w:tcW w:type="dxa" w:w="16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Взвешенное значение</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на выдачу кредитов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Общие гарантии по кредитам и ценным бумагам, резервные аккредитивы и гарантии по акцептованию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торговыми сделками в рамках международной торговли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конкретными сделками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обязательства, связанные с торговыми сделками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Соглашения о продаже с последующим выкупом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покупке активов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591.4</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591.5</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Валютные операции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года до 2 лет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Операции с процентной ставкой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1 года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 года до 2 лет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каждый следующий год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забалансовые обязательства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620.3</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забалансовых обязательств (сумма ст.540-620)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специальных резервов на покрытие потенциальных и лизинговых потерь и убытков (далее - специальный резерв на покрытие убытков)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640.1</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балансовым активам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640.2</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резерв на покрытие убытков по забалансовым обязательствам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3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балансовых активов и забалансовых обязательств, взвешенных по степени риска, за вычетом резервов на покрытие убытков (ст.440 плюс ст.630 минус 640) </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СУБОРДИНИРОВАННЫЙ ДОЛГ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7"/>
        <w:gridCol w:w="4791"/>
        <w:gridCol w:w="1384"/>
        <w:gridCol w:w="972"/>
        <w:gridCol w:w="2433"/>
      </w:tblGrid>
      <w:tr>
        <w:tc>
          <w:tcPr>
            <w:tcW w:type="dxa" w:w="5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79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Статьи</w:t>
            </w:r>
          </w:p>
        </w:tc>
        <w:tc>
          <w:tcPr>
            <w:tcW w:type="dxa" w:w="13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 балансу</w:t>
            </w:r>
          </w:p>
        </w:tc>
        <w:tc>
          <w:tcPr>
            <w:tcW w:type="dxa" w:w="9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Доля %</w:t>
            </w:r>
          </w:p>
        </w:tc>
        <w:tc>
          <w:tcPr>
            <w:tcW w:type="dxa" w:w="243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Взвешенное значение</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Бессрочный субординированный долг</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более 5 лет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от 4 до 5 лет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от 3 до 4 лет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от 2 до 3 лет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от 1 до 2 лет</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оставшимся сроком погашения менее 1 года</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47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КАПИТАЛ И КОЭФФИЦИЕНТЫ ДОСТАТОЧНОСТИ (АДЕКВАТНОСТИ)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4"/>
        <w:gridCol w:w="8549"/>
        <w:gridCol w:w="925"/>
      </w:tblGrid>
      <w:tr>
        <w:tc>
          <w:tcPr>
            <w:tcW w:type="dxa" w:w="704"/>
            <w:tcBorders>
              <w:top w:val="single" w:color="CBBF9E" w:sz="4"/>
              <w:left w:val="single" w:color="CBBF9E" w:sz="4"/>
              <w:bottom w:val="single" w:color="CBBF9E" w:sz="4"/>
              <w:right w:val="single" w:color="CBBF9E" w:sz="4"/>
            </w:tcBorders>
          </w:tcPr>
          <w:p>
            <w:pPr>
              <w:jc w:val="left"/>
            </w:pPr>
            <w:r>
              <w:rPr>
                <w:rFonts w:ascii="Arial" w:cs="Arial" w:eastAsia="Arial" w:hAnsi="Arial"/>
                <w:b/>
                <w:bCs/>
                <w:sz w:val="24"/>
                <w:szCs w:val="24"/>
              </w:rPr>
              <w:t xml:space="preserve">№</w:t>
            </w:r>
          </w:p>
        </w:tc>
        <w:tc>
          <w:tcPr>
            <w:tcW w:type="dxa" w:w="8549"/>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Статьи</w:t>
            </w:r>
          </w:p>
        </w:tc>
        <w:tc>
          <w:tcPr>
            <w:tcW w:type="dxa" w:w="925"/>
            <w:tcBorders>
              <w:top w:val="single" w:color="CBBF9E" w:sz="4"/>
              <w:left w:val="none" w:color="auto" w:sz="0"/>
              <w:bottom w:val="single" w:color="CBBF9E" w:sz="4"/>
              <w:right w:val="single" w:color="CBBF9E" w:sz="4"/>
            </w:tcBorders>
          </w:tcPr>
          <w:p>
            <w:pPr>
              <w:jc w:val="left"/>
            </w:pPr>
            <w:r>
              <w:rPr>
                <w:rFonts w:ascii="Arial" w:cs="Arial" w:eastAsia="Arial" w:hAnsi="Arial"/>
                <w:b/>
                <w:bCs/>
                <w:sz w:val="24"/>
                <w:szCs w:val="24"/>
              </w:rPr>
              <w:t xml:space="preserve">Сумма</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 Первого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Базовый капитал Первого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740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Простые акции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750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Привилегированные некуммулятивные акции (приемлемые для включения в Базовый капитал Первого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760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 внесенный сверх номинала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770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Резервы для будущих потребностей банка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780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Нераспределенная прибыль (убытки) прошлых лет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790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Убытки текущего года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800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Нематериальные активы (ст.430.1)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Инвестиции в неконсолидированные банки, финансово-кредитные организации и небанковские финансово-кредитные организации (ст. 200.1, 210.1, 220.1, 230.1, ст.390, ст.400)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820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Отсроченные налоговые активы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830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Прямые или косвенные инвестиции в собственные акции банка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840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Базовый капитал Первого уровня (сумма ст.740-830)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Дополнительный капитал Первого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850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Дополнительный капитал, внесенный физическими и юридическими лицами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860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Привилегированные акции (неприемлемые для включения в Базовый капитал Первого уровня) и сумма, внесенная выше их номинальной стоимости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870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 инструменты капитала (ст.660)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880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Прямые или косвенные инвестиции в свой собственный Дополнительный капитал Первого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890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900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Дополнительный капитал Первого уровня (сумма ст.820-860)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910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капитал Первого уровня (сумма ст.840 и ст.900)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Капитал Второго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920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Прибыль текущего года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930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Общие резервы (приемлемые для включения)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940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Резервы по переоценке ценных бумаг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950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Резервы по пересчету иностранной валюты при консолидации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960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на выравнивание прибыли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970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Резерв на покрытие рисков по инвестициям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980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Часть инструментов капитала и долговых инструментов, которая может быть включена в состав Капитала Второго уровня с разрешения Национального банка по письменному заявлению совета директоров банка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990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Разница между ценой продажи акций, включенных в Капитал Второго уровня (не включенных в Капитал Первого уровня), и их номинальной стоимостью по результатам эмиссии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1000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Прямые или косвенные инвестиции в свой собственный Капитал Второго уровня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1010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Инвестиции в Капитал Второго уровня неконсолидированных банков и капитал финансово-кредитных организаций и нефинансовых организаций (если применимо)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1020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Капитал Второго уровня (сумма ст.920-1010)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1030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чистый суммарный капитал (сумма ст.910 и ст.1020)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1040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достаточности (адекватности) суммарного капитала (ст.1030/ст.650)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1050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достаточности (адекватности) капитала Первого уровня (ст.910/ст.650)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1060</w:t>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Коэффициент достаточности (адекватности) Базового капитала Первого уровня (ст.840/ст.650)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Справочно: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70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5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Собственные средства банка </w:t>
            </w:r>
          </w:p>
        </w:tc>
        <w:tc>
          <w:tcPr>
            <w:tcW w:type="dxa" w:w="92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регулятивной банковской отчетности" от 19 июля 2023 года № 2023-П-10/43-5-(НПА) следующие изменения: в </w:t>
      </w:r>
      <w:r>
        <w:rPr>
          <w:rFonts w:ascii="Arial" w:cs="Arial" w:eastAsia="Arial" w:hAnsi="Arial"/>
          <w:sz w:val="24"/>
          <w:szCs w:val="24"/>
        </w:rPr>
        <w:t xml:space="preserve">Положении</w:t>
      </w:r>
      <w:r>
        <w:rPr>
          <w:rFonts w:ascii="Arial" w:cs="Arial" w:eastAsia="Arial" w:hAnsi="Arial"/>
          <w:sz w:val="24"/>
          <w:szCs w:val="24"/>
        </w:rPr>
        <w:t xml:space="preserve"> "О регулятивной банковской отчетности",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 1) </w:t>
      </w:r>
      <w:r>
        <w:rPr>
          <w:rFonts w:ascii="Arial" w:cs="Arial" w:eastAsia="Arial" w:hAnsi="Arial"/>
          <w:sz w:val="24"/>
          <w:szCs w:val="24"/>
        </w:rPr>
        <w:t xml:space="preserve">Приложение 2</w:t>
      </w:r>
      <w:r>
        <w:rPr>
          <w:rFonts w:ascii="Arial" w:cs="Arial" w:eastAsia="Arial" w:hAnsi="Arial"/>
          <w:sz w:val="24"/>
          <w:szCs w:val="24"/>
        </w:rPr>
        <w:t xml:space="preserve"> отчета "Раздел 4. Пруденциальные отчеты. Подраздел 4.1.1. Взвешивание по степени кредитного риска" изложить в следующей редакции:</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"2-тиркеме/</w:t>
      </w:r>
      <w:r>
        <w:rPr>
          <w:rFonts w:ascii="Arial" w:cs="Arial" w:eastAsia="Arial" w:hAnsi="Arial"/>
          <w:sz w:val="24"/>
          <w:szCs w:val="24"/>
        </w:rPr>
        <w:t xml:space="preserve">Приложение 2</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7"/>
        <w:gridCol w:w="6061"/>
      </w:tblGrid>
      <w:tr>
        <w:tc>
          <w:tcPr>
            <w:tcW w:type="dxa" w:w="41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Отчет/Отчет:</w:t>
            </w:r>
          </w:p>
        </w:tc>
        <w:tc>
          <w:tcPr>
            <w:tcW w:type="dxa" w:w="606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4-бөлүк. Пруденциалдык отчеттор. 4.1.1-бөлүкчө. Кредиттик тобокелдик деңгээли боюнча баалоо/
 Раздел 4. Пруденциальные отчеты. Подраздел 4.1.1. Взвешивание по степени кредитного риска</w:t>
            </w:r>
          </w:p>
        </w:tc>
      </w:tr>
      <w:tr>
        <w:tc>
          <w:tcPr>
            <w:tcW w:type="dxa" w:w="4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Субъекттин аталышы/Наименование субъекта: </w:t>
            </w:r>
          </w:p>
        </w:tc>
        <w:tc>
          <w:tcPr>
            <w:tcW w:type="dxa" w:w="6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Карата/По состоянию на: </w:t>
            </w:r>
          </w:p>
        </w:tc>
        <w:tc>
          <w:tcPr>
            <w:tcW w:type="dxa" w:w="6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Мезгилдүүлүгү/Периодичность: </w:t>
            </w:r>
          </w:p>
        </w:tc>
        <w:tc>
          <w:tcPr>
            <w:tcW w:type="dxa" w:w="6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r>
      <w:tr>
        <w:tc>
          <w:tcPr>
            <w:tcW w:type="dxa" w:w="41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tc>
        <w:tc>
          <w:tcPr>
            <w:tcW w:type="dxa" w:w="6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АКТИВДЕР/АКТИВЫ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0"/>
        <w:gridCol w:w="4692"/>
        <w:gridCol w:w="1131"/>
        <w:gridCol w:w="1863"/>
        <w:gridCol w:w="1603"/>
      </w:tblGrid>
      <w:tr>
        <w:tc>
          <w:tcPr>
            <w:tcW w:type="dxa" w:w="89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Статьялар/Статьи</w:t>
            </w:r>
          </w:p>
        </w:tc>
        <w:tc>
          <w:tcPr>
            <w:tcW w:type="dxa" w:w="113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Баланс боюнча/
 По балансу</w:t>
            </w:r>
          </w:p>
        </w:tc>
        <w:tc>
          <w:tcPr>
            <w:tcW w:type="dxa" w:w="18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Кредиттик тобокелдик %/
 Кредитный риск, %</w:t>
            </w:r>
          </w:p>
        </w:tc>
        <w:tc>
          <w:tcPr>
            <w:tcW w:type="dxa" w:w="16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Бааланган мааниси/
 Взвешенное значение</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Банкноттор жана монеталар/Банкноты и монеты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Эсептөөдөгү акча активдери/Денежные активы в расчетах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Улуттук банктагы корреспонденттик эсеп/Корреспондентский счет в НБКР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Республикасындагы коммерциялык банктардагы корреспонденттик эсептер/Корреспондентские счета в коммерческих банках Кыргызской Республики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коммерциялык банктарындагы корреспонденттик эсептер/Корреспондентские счета в коммерческих банках стран СНГ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чет өлкө банктарындагы корреспонденттик эсептер/Корреспондентские счета в иностранных банках, кроме стран СНГ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Алтын жана башка баалуу металлдар/Золото и другие драгоценные металлы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коммерциялык банктарындагы банктар аралык депозиттер/Межбанковские депозиты в коммерческих банках Кыргызской Республики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банктарындагы жана финансы уюмдарындагы банктар аралык депозиттер/Межбанковские депозиты в банках и финансовых организациях стран СНГ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банктардагы жана финансы уюмдарындагы банктар аралык депозиттер/Межбанковские депозиты в иностранных банках и финансовых организациях, кроме стран СНГ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күнгө чейинки кыска мөөнөттүү банктар аралык жайгаштыруулар/Краткосрочные межбанковские размещения до 7 дней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РЕПО макулдашуулар боюнча операциялар/Операции по РЕПО-соглашениям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120.1</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120.2</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120.3</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120.4</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120.5</w:t>
            </w:r>
          </w:p>
        </w:tc>
        <w:tc>
          <w:tcPr>
            <w:tcW w:type="dxa" w:w="4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БААЛУУ КАГАЗДАР ПОРТФЕЛИ/ПОРТФЕЛЬ ЦЕННЫХ БУМАГ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8"/>
        <w:gridCol w:w="4673"/>
        <w:gridCol w:w="1159"/>
        <w:gridCol w:w="1968"/>
        <w:gridCol w:w="1609"/>
      </w:tblGrid>
      <w:tr>
        <w:tc>
          <w:tcPr>
            <w:tcW w:type="dxa" w:w="7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6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Статьялар/Статьи</w:t>
            </w:r>
          </w:p>
        </w:tc>
        <w:tc>
          <w:tcPr>
            <w:tcW w:type="dxa" w:w="11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Баланс боюнча/
 По балансу</w:t>
            </w:r>
          </w:p>
        </w:tc>
        <w:tc>
          <w:tcPr>
            <w:tcW w:type="dxa" w:w="19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Кредиттик тобокелдик %/
 Кредитный риск, %</w:t>
            </w:r>
          </w:p>
        </w:tc>
        <w:tc>
          <w:tcPr>
            <w:tcW w:type="dxa" w:w="160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Бааланган мааниси/
 Взвешенное значение</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Өкмөтү жана/же Улуттук банк тарабынан чыгарылган баалуу кагаздар/Ценные бумаги, выпущенные правительством КР и/или НБКР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Жергиликтүү бийлик органдары тарабынан чыгарылган баалуу кагаздар/Ценные бумаги, выпущенные местными органами власти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өкмөттөрү тарабынан чыгарылган баалуу кагаздар/Ценные бумаги, выпущенные правительствами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өкмөттөрүнөн тышкары,чет өлкөлөрдүн өкмөттөрү тарабынан чыгарылган баалуу кагаздар/Ценные бумаги, выпущенные иностранными правительствами стран, кроме правительств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Кыргызстандын компанияларынын карыздык баалуу кагаздары/Долговые ценные бумаги кыргызских компаний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компанияларынын карыздык баалуу кагаздары/Долговые ценные бумаги компаний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чет өлкөлүк компаниялардын карыздык баалуу кагаздары/Долговые ценные бумаги иностранных компаний, кроме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Кыргызстандын компанияларынын капиталдык баалуу кагаздары/Капитальные ценные бумаги кыргызских компаний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банктарынын жана башка финансы-кредит уюмдарынын капиталдык баалуу кагаздары/Капитальные ценные бумаги банков и других финансово-кредитных организаций КР (менее 20%)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200.6</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компанияларынын капиталдык баалуу кагаздары/Капитальные ценные бумаги компаний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банктарынын жана башка финансы-кредит уюмдарынын капиталдык баалуу кагаздары/Капитальные ценные бумаги банков и других финансово-кредитных организаций стран СНГ (менее 20%)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210.6</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жана КМШ өлкөлөрүнүн компанияларынын амортизацияланбаган капиталдык баалуу кагаздары/ Капитальные ценные бумаги компаний КР и стран СНГ, не подлежащие амортизации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жана КМШ өлкөлөрүнүн банктарынын жана башка финансы-кредит уюмдарынын амортизацияланбаган капиталдык баалуу кагаздары (20%дан аз)/Капитальные ценные бумаги банков и других финансово-кредитных организаций КР и стран СНГ, не подлежащие амортизации (менее 20%)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220.6</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чет өлкөлүк компаниялардын капиталдык баалуу кагаздары/Капитальные ценные бумаги иностранных компаний, кроме стран СНГ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230.1</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чет өлкө банктарынын жана башка финансы-кредит уюмдарынын капиталдык баалуу кагаздары (20%дан аз)/Капитальные ценные бумаги иностранных банков и других финансово-кредитных организаций, кроме стран СНГ (менее 20%)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230.2</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230.4</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230.5</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230.6</w:t>
            </w:r>
          </w:p>
        </w:tc>
        <w:tc>
          <w:tcPr>
            <w:tcW w:type="dxa" w:w="4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баалуу кагаздардын калган бөлүгү/Остальная часть капитальных ценных бумаг </w:t>
            </w:r>
          </w:p>
        </w:tc>
        <w:tc>
          <w:tcPr>
            <w:tcW w:type="dxa" w:w="1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КРЕДИТТЕР ЖАНА ЛИЗИНГДЕР/КРЕДИТЫ И ЛИЗИНГИ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6"/>
        <w:gridCol w:w="4520"/>
        <w:gridCol w:w="1184"/>
        <w:gridCol w:w="2068"/>
        <w:gridCol w:w="1640"/>
      </w:tblGrid>
      <w:tr>
        <w:tc>
          <w:tcPr>
            <w:tcW w:type="dxa" w:w="76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5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Статьялар/Статьи</w:t>
            </w:r>
          </w:p>
        </w:tc>
        <w:tc>
          <w:tcPr>
            <w:tcW w:type="dxa" w:w="11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Баланс боюнча/
 По балансу</w:t>
            </w:r>
          </w:p>
        </w:tc>
        <w:tc>
          <w:tcPr>
            <w:tcW w:type="dxa" w:w="20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Кредиттик тобокелдик, %/
 Кредитный риск, %</w:t>
            </w:r>
          </w:p>
        </w:tc>
        <w:tc>
          <w:tcPr>
            <w:tcW w:type="dxa" w:w="164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Бааланган мааниси/
 Взвешенное значение</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 Республикасынын банктарына берилген кредиттер/Кредиты банкам Кыргызской Республики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өлкөлөрүнүн банктарына жана финансы уюмдарына берилген кредиттер/Кредиты банкам и финансовым организациям стран СНГ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КМШ өлкөлөрүнөн тышкары, чет өлкө банктарына жана финансы уюмдарына берилген кредиттер/Кредиты иностранным банкам и финансовым организациям, кроме стран СНГ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секторго берилген кредиттер/Кредиты 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эмес секторго кредиттер/Кредиты негосударственному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адамдарга жеке максат үчүн берилген кредиттер/Кредиты физическим лицам для личных целей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секторго берилген ипотекалык кредиттер/Ипотечные кредиты 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эмес секторго берилген ипотекалык кредиттер/Ипотечные кредиты негосударственному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адамдарга берилген ипотекалык кредиттер/Ипотечные кредиты физическим лицам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секторго курулушка берилген кредиттер/Кредиты на строительство 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Мамлекеттик эмес секторго курулушка берилген кредиттер/Кредиты на строительство негосударственному сектору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адамдарга курулушка берилген кредиттер/Кредиты на строительство физическим лицам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Капиталдык ижарага берилген кредиттер/Кредиты на капитальную аренду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Мушарака, мудараба келишимдери боюнча сунушталган каржылоо/Финансирование, предоставленное по договорам мушарака, мудараба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361.9</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Негизги каражаттар/Основные средства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башка менчиги/Прочая собственность банка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Консолидацияланбаган банктарга инвестициялар жана финансылык катышуу/Инвестиции и финансовое участие в неконсолидированных банках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Банктардан тышкары, консолидацияланбаган финансылык уюмдарга инвестициялар жана финансылык каржылоо/Инвестиции и финансовое участие в неконсолидированных финансовых организациях, кроме банков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Консолидацияланбаган финансылык эмес уюмдарга инвестициялар жана финансылык каржылоо/Инвестиции и финансовое участие в неконсолидированных нефинансовых организациях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Алууга чегерилген пайыздар/Начисленные проценты к получению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420.8</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420.9</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Башка активдер/Прочие активы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430.1</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Материалдык эмес активдер/Нематериальные активы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эсебинен чыгаруу/Вычет из капитала</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430.2</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Башка активдердин калган бөлүгү/Остальная часть прочих активов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430.3</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430.4</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430.5</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430.6</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430.7</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баланстык активдер (10-430 статьялардын суммасы)/
 ВСЕГО балансовых активов (сумма ст.10-430)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1-категория боюнча/Всего по категории 1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2-категория боюнча/Всего по категории 2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3-категория боюнча/Всего по категории 3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4-категория боюнча/Всего по категории 4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5-категория боюнча/Всего по категории 5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6-категория боюнча/Всего по категории 6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7-категория боюнча/Всего по категории 7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8-категория боюнча/Всего по категории 8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530</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9-категория боюнча/Всего по категории 9 </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539</w:t>
            </w:r>
          </w:p>
        </w:tc>
        <w:tc>
          <w:tcPr>
            <w:tcW w:type="dxa" w:w="45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капиталдын эсебинен чыгарылгандар/Всего вычетов из капитала</w:t>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БАЛАНСТАН ТЫШКАРКЫ МИЛДЕТТЕНМЕЛЕР/ЗАБАЛАНСОВЫЕ ОБЯЗАТЕЛЬСТВА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1"/>
        <w:gridCol w:w="4980"/>
        <w:gridCol w:w="1063"/>
        <w:gridCol w:w="1792"/>
        <w:gridCol w:w="1542"/>
      </w:tblGrid>
      <w:tr>
        <w:tc>
          <w:tcPr>
            <w:tcW w:type="dxa" w:w="80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98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Статьялар/Статьи</w:t>
            </w:r>
          </w:p>
        </w:tc>
        <w:tc>
          <w:tcPr>
            <w:tcW w:type="dxa" w:w="106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Баланс боюнча/
 По балансу</w:t>
            </w:r>
          </w:p>
        </w:tc>
        <w:tc>
          <w:tcPr>
            <w:tcW w:type="dxa" w:w="17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Кредиттик конверсия фактору, %/
 Фактор кредитной конверсии, %</w:t>
            </w:r>
          </w:p>
        </w:tc>
        <w:tc>
          <w:tcPr>
            <w:tcW w:type="dxa" w:w="15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Кредиттик тобокелдик, %/
 Кредитный риск, %</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Кредиттерди берүүгө милдеттенмелер/Обязательства на выдачу кредитов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Кредиттер жана баалуу кагаздар боюнча жалпы гарантиялар, резервдеги аккредитивдер жана акцепттөө боюнча гарантиялар/Общие гарантии по кредитам и ценным бумагам, резервные аккредитивы и гарантии по акцептованию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связанные с торговыми сделками в рамках международной торговли/Эл аралык сооданын алкагындагы соода бүтүмдөрүнө байланыштуу милдеттенмелер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Белгилүү бир бүтүмдөргө байланыштуу милдеттенмелер/Обязательства, связанные с конкретными сделками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Соода бүтүмдөрүнө байланыштуу башка милдеттенмелер/Прочие обязательства, связанные с торговыми сделками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Кийинчерээк сатып алуу шартында сатуу жөнүндө макулдашуулар/Соглашения о продаже с последующим выкупом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Активдерди сатып алуу боюнча милдеттенмелер/Обязательства по покупке активов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590.5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Обязательства, по которым банк имеет право безусловного отзыва/аннулирования в любое время без предварительного уведомления клиента/Кардарга алдын ала билдирүүсүз банктын каалаган убакта шартсыз кайтарып алууга/жокко чыгарууга укук берген милдеттенмелери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591.4</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591.5</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Валюталык операциялар/Валютные операции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жылдан аз/менее 1 года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600.1.2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жылдан 2 жылга чейин/от 1 года до 2 лет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600.2.2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 бир кийинки жыл үчүн/на каждый следующий год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600.3.2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Пайыздык чен менен операциялар/Операции с процентной ставкой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жылдан аз/менее 1 года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610.1.2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жылдан 2 жылга чейин/от 1 года до 2 лет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610.2.2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 бир кийинки жыл үчүн/на каждый следующий год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610.3.2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Баланстан тышкаркы башка милдеттенмелер/Другие забалансовые обязательства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620.3</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баланстан тышкаркы милдеттенмелер (540-620-ст. суммасы)/
 ВСЕГО забалансовых обязательств (сумма ст.540-620)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потенциалдуу жана лизингдик жоготуулардын жана чыгымдардын ордун жабууга атайын кам (мындан ары - чыгымдардын ордун жабууга атайын кам)/Всего специальных резервов на покрытие потенциальных и лизинговых потерь и убытков (далее - специальный резерв на покрытие убытков)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640.1</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Баланстык активдер боюнча чыгымдардын ордун жабууга атайын резерв/Специальный резерв на покрытие убытков по балансовым активам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640.2</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Баланстан тышкаркы милдеттенмелер боюнча чыгымдардын ордун жабууга атайын резерв/Специальный резерв на покрытие убытков по забалансовым обязательствам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650</w:t>
            </w:r>
          </w:p>
        </w:tc>
        <w:tc>
          <w:tcPr>
            <w:tcW w:type="dxa" w:w="4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чыгымдын ордун жабууга камды эсептен чыгаруу менен тобокелдик деңгээли боюнча өлчөнгөн баланстык активдер жана баланстан тышкаркы милдеттенмелер (440-ст.плюс 630-ст. минус 640)/
 ВСЕГО балансовых активов и забалансовых обязательств, взвешенных по степени риска, за вычетом резервов на покрытие убытков (ст.440 плюс ст.630 минус ст.640) </w:t>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00"/>
        <w:jc w:val="center"/>
      </w:pPr>
      <w:r>
        <w:rPr>
          <w:rFonts w:ascii="Arial" w:cs="Arial" w:eastAsia="Arial" w:hAnsi="Arial"/>
          <w:b/>
          <w:bCs/>
          <w:sz w:val="32"/>
          <w:szCs w:val="32"/>
        </w:rPr>
        <w:t xml:space="preserve">СУБОРДИНАЦИЯЛАНГАН КАРЫЗ/СУБОРДИНИРОВАННЫЙ ДОЛГ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4755"/>
        <w:gridCol w:w="1524"/>
        <w:gridCol w:w="1186"/>
        <w:gridCol w:w="2255"/>
      </w:tblGrid>
      <w:tr>
        <w:tc>
          <w:tcPr>
            <w:tcW w:type="dxa" w:w="4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47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Статьялар/Статьи</w:t>
            </w:r>
          </w:p>
        </w:tc>
        <w:tc>
          <w:tcPr>
            <w:tcW w:type="dxa" w:w="15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Баланс боюнча/
 По балансу</w:t>
            </w:r>
          </w:p>
        </w:tc>
        <w:tc>
          <w:tcPr>
            <w:tcW w:type="dxa" w:w="118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Үлүшү %/
 Доля %</w:t>
            </w:r>
          </w:p>
        </w:tc>
        <w:tc>
          <w:tcPr>
            <w:tcW w:type="dxa" w:w="225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Бааланган мааниси/
 Взвешенное значение</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Мөөнөтсүз субординацияланган карыз/Бессрочный субординированный долг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жылдан ашык калган төлөө мөөнөтү менен/С оставшимся сроком погашения более 5 лет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жылдан 5 жылга чейинки калган төлөө мөөнөтү менен/С оставшимся сроком погашения от 4 до 5 лет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жылдан 4 жылга чейинки калган төлөө мөөнөтү менен/С оставшимся сроком погашения от 3 до 4 лет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жылдан 3 жылга чейинки калган төлөө мөөнөтү менен/С оставшимся сроком погашения от 2 до 3 лет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жылдан 2 жылга чейинки калган төлөө мөөнөтү менен/С оставшимся сроком погашения от 1 до 2 лет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жылга чейинки калган төлөө мөөнөтү менен/С оставшимся сроком погашения менее 1 года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730</w:t>
            </w:r>
          </w:p>
        </w:tc>
        <w:tc>
          <w:tcPr>
            <w:tcW w:type="dxa" w:w="4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болуп/Всего </w:t>
            </w:r>
          </w:p>
        </w:tc>
        <w:tc>
          <w:tcPr>
            <w:tcW w:type="dxa" w:w="1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240" w:before="200"/>
        <w:jc w:val="center"/>
      </w:pPr>
      <w:r>
        <w:rPr>
          <w:rFonts w:ascii="Arial" w:cs="Arial" w:eastAsia="Arial" w:hAnsi="Arial"/>
          <w:b/>
          <w:bCs/>
          <w:sz w:val="32"/>
          <w:szCs w:val="32"/>
        </w:rPr>
        <w:t xml:space="preserve">КАПИТАЛ ЖАНА КАПИТАЛДЫН ШАЙКЕШТИГИНИН КОЭФФИЦИЕНТТЕРИ/ КАПИТАЛ И КОЭФФИЦИЕНТЫ АДЕКВАТНОСТИ КАПИТАЛА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2"/>
        <w:gridCol w:w="8722"/>
        <w:gridCol w:w="824"/>
      </w:tblGrid>
      <w:tr>
        <w:tc>
          <w:tcPr>
            <w:tcW w:type="dxa" w:w="6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72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Статьялар</w:t>
            </w:r>
          </w:p>
        </w:tc>
        <w:tc>
          <w:tcPr>
            <w:tcW w:type="dxa" w:w="82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Сумма</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деңгээлдеги Капитал/Капитал Первого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деңгээлдеги базалык капитал/Базовый капитал Первого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Жөнөкөй акциялар/Простые акции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Артыкчылыктуу куммулятивдик эмес акциялар (Биринчи деңгээлдеги базалык капиталга кошуу үчүн алгылыктуу)/Привилегированные некуммулятивные акции (приемлемые для включения в Базовый капитал Первого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Номиналдан үстөк салынган капитал/Капитал, внесенный сверх номинала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Банктык келечектеги керектөөлөрү үчүн кам/Резервы для будущих потребностей банка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Өткөн жылдардын бөлүштүрүлбөгөн пайдасы (чыгымы)/Нераспределенная прибыль (убытки) прошлых лет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Өткөн жылдардын чыгымы/(-) Убытки текущего года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Материалдык эмес активдер (430.1-ст.)/(-) Нематериальные активы (ст.430.1)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Консолидацияланбаган банктарга, финансы-кредит уюмдарына жана банк эмес финансы-кредит уюмдарына инвестициялар (200.1, 210.1, 220.1, 230.1-ст., 390-ст., 400-ст.)/(-) Инвестиции в неконсолидированные банки, финансово-кредитные организации и небанковские финансово - кредитные организации (ст. 200.1, 210.1, 220.1, 230.1, ст.390, ст.400)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Мөөнөтү жылдырылган салыктык активдер/(-) Отсроченные налоговые активы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Банктын өздүк акцияларына тике же кыйыр инвестициялар/(-) Прямые или косвенные инвестиции в собственные акции банка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Биринчи деңгээлдеги базалык капитал (740-830-ст. суммасы)/Всего Базовый капитал Первого уровня (сумма ст.740-830)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деңгээлдеги кошумча капитал/Дополнительный капитал Первого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адамдар жана юридикалык жактар тарабынан салынган кошумча капитал/Дополнительный капитал, внесенный физическими и юридическими лицами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Артыкчылыктуу (Биринчи деңгээлдеги базалык капиталга кошуу үчүн алгылыктуу) акциялар жана алардын номиналдык наркынан ашык салынган сумма/Привилегированные акции (неприемлемые для включения в Базовый капитал Первого уровня) и сумма, внесенная выше их номинальной стоимости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башка инструменттери (660-ст.)/Другие инструменты капитала (ст.660)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Биринчи деңгээлдеги өздүк кошумча капиталга тике же кыйыр инвестициялар/(-) Прямые или косвенные инвестиции в свой собственный Дополнительный капитал Первого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Консолидацияланбаган банктардын Биринчи деңгээлдеги кошумча капиталга жана финансы-кредиттик уюмдардын жана финансылык эмес уюмдардын капиталына инвестициялар (эгер колдонулса)/(-) Инвестиции в Дополнительный капитал Первого уровня неконсолидированных банков и капитал финансово-кредитных организаций и нефинансовых организаций (если применимо)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Биринчи деңгээлдеги кошумча капитал (820-860-ст. суммасы)/Всего Дополнительный капитал Первого уровня (сумма ст.820-860)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Биринчи деңгээлдеги капитал (840 жана 900-ст. суммасы)/Всего капитал Первого уровня (сумма ст.840 и ст.900)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Экинчи деңгээлдеги капитал/Капитал Второго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Өтүп жаткан жылдын пайдасы/Прибыль текущего года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Жалпы кам (кошуу үчүн алгылыктуу)/Общие резервы (приемлемые для включения)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Баалуу кагаздарды кайра баалоо боюнча кам/Резервы по переоценке ценных бумаг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 өлкө валютасын консолидациялоодо кайра эсептөө боюнча кам/Резервы по пересчету иностранной валюты при консолидации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Пайданы текшилөөгө кам/Резерв на выравнивание прибыли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 боюнча тобокелдиктердин ордун жабууга кам/Резерв на покрытие рисков по инвестициям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Капиталдын инструменттеринин жана карыздык инструменттердин бир бөлүгү, ал Улуттук банктын уруксаты менен банктын Директорлор кеңешинин жазуу жүзүндөгү билдирүүсү боюнча Экинчи деңгээлдеги капиталдын курамына киргизилиши мүмкүн/Часть инструментов капитала и долговых инструментов, которая может быть включена в состав Капитала Второго уровня с разрешения Национального банка по письменному заявлению совета директоров банка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Экинчи деңгээлдеги капиталга киргизилген (Биринчи деңгээлдеги капиталга киргизилбеген) акцияларды сатуу баасы менен эмиссиялоо натыйжасы боюнча алардын номиналдык наркынын ортосундагы айырма/Разница между ценой продажи акций, включенных в Капитал Второго уровня (невключенных в Капитал Первого уровня) и их номинальной стоимостью по результатам эмиссии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Биринчи деңгээлдеги өздүк капиталга тике же кыйыр инвестициялар/(-) Прямые или косвенные инвестиции в свой собственный Капитал Второго уровня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Консолидацияланбаган банктардын Экинчи деңгээлдеги капиталына жана финансы-кредит уюмдарынын жана финансылык эмес уюмдардын капиталына инвестициялар (эгер колдонулса)/(-) Инвестиции в Капитал Второго уровня неконсолидированных банков и капитал финансово-кредитных организаций и нефинансовых организаций (если применимо)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Экинчи деңгээлдеги капитал (920-1010-ст. суммасы)/Всего Капитал Второго уровня (сумма ст.920-1010)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Бардыгы болуп таза суммардык капитал (910 жана 1020-ст. суммасы)/Всего чистый суммарный капитал (сумма ст.910 и ст.1020)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Суммардык капиталдын жеткиликтүүлүгүнүн (шайкештигинин) коэффициенти (1030/650-ст.)/Коэффициент достаточности (адекватности) суммарного капитала (ст.1030/ст.650)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деңгээлдеги капиталдын жеткиликтүүлүгүнүн (шайкештигинин) коэффициенти (910-ст/1020-ст.)/Коэффициент достаточности (адекватности) капитала Первого уровня (ст.910/ст.650)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1060</w:t>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Биринчи деңгээлдеги базалык капиталдын жеткиликтүүлүгүнүн (шайкештигинин) коэффициенти (840-ст/650-ст.)/Коэффициент достаточности (адекватности) Базового капитала Первого уровня (ст.840/ст.650)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Маалымат үчүн:/Справочно: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өздүк каражаттары/Собственные средства банка </w:t>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bl>
    <w:p>
      <w:pPr>
        <w:spacing w:after="120" w:before="120"/>
        <w:ind w:firstLine="567"/>
        <w:jc w:val="right"/>
      </w:pP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2) </w:t>
      </w:r>
      <w:r>
        <w:rPr>
          <w:rFonts w:ascii="Arial" w:cs="Arial" w:eastAsia="Arial" w:hAnsi="Arial"/>
          <w:sz w:val="24"/>
          <w:szCs w:val="24"/>
        </w:rPr>
        <w:t xml:space="preserve">Приложение 2</w:t>
      </w:r>
      <w:r>
        <w:rPr>
          <w:rFonts w:ascii="Arial" w:cs="Arial" w:eastAsia="Arial" w:hAnsi="Arial"/>
          <w:sz w:val="24"/>
          <w:szCs w:val="24"/>
        </w:rPr>
        <w:t xml:space="preserve"> отчета "Раздел 4. Пруденциальные отчеты. Подраздел 4.9 Экономические нормативы/показатели. Пункт 4.9.1. Сведения о соблюдении экономических нормативов и поддержке дополнительного запаса капитала банка (показатель "Буфер капитала")" изложить в следующей редакции: </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38"/>
        <w:gridCol w:w="1438"/>
        <w:gridCol w:w="1043"/>
        <w:gridCol w:w="1043"/>
        <w:gridCol w:w="1043"/>
        <w:gridCol w:w="1043"/>
        <w:gridCol w:w="1043"/>
        <w:gridCol w:w="1043"/>
        <w:gridCol w:w="1043"/>
      </w:tblGrid>
      <w:tr>
        <w:tc>
          <w:tcPr>
            <w:tcW w:type="dxa" w:w="287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Отчет/Отчет:</w:t>
            </w:r>
          </w:p>
        </w:tc>
        <w:tc>
          <w:tcPr>
            <w:tcW w:type="dxa" w:w="7301"/>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4-бөлүк. Пруденциалдык отчеттор. 4.9.-бөлүкчө. Экономикалык ченемдер/көрсөткүчтөр. 4.9.1.-пункту Экономикалык ченемдердин сакталышы жана банк капиталынын кошумча запасын толуктоо тууралуу маалымат ("Капитал буфери" көрсөткүчү)/
 Раздел 4. Пруденциальные отчеты. Подраздел 4.9. Экономические нормативы/показатели. Пункт 4.9.1. Сведения о соблюдении экономических нормативов и поддержке дополнительного запаса капитала банка (показатель "Буфер капитала")</w:t>
            </w:r>
          </w:p>
        </w:tc>
      </w:tr>
      <w:tr>
        <w:tc>
          <w:tcPr>
            <w:tcW w:type="dxa" w:w="287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Субъекттин аталышы/Наименование субъекта: </w:t>
            </w:r>
          </w:p>
        </w:tc>
        <w:tc>
          <w:tcPr>
            <w:tcW w:type="dxa" w:w="7301"/>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Мезгилдүүлүгү/Периодичность: </w:t>
            </w:r>
          </w:p>
        </w:tc>
        <w:tc>
          <w:tcPr>
            <w:tcW w:type="dxa" w:w="20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ФИО</w:t>
            </w:r>
            <w:r>
              <w:rPr>
                <w:rFonts w:ascii="Arial" w:cs="Arial" w:eastAsia="Arial" w:hAnsi="Arial"/>
                <w:sz w:val="24"/>
                <w:szCs w:val="24"/>
              </w:rPr>
              <w:t xml:space="preserve">Тел. исп.: </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7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Единица измерения: </w:t>
            </w:r>
          </w:p>
        </w:tc>
        <w:tc>
          <w:tcPr>
            <w:tcW w:type="dxa" w:w="20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(миӊ сом/тыс. сом) </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Экономикалык ченемдердин жана талаптардын аталышы, банк капиталынын кошумча запасы ("капитал буфери" көрсөткүчү)/Наименование экономических нормативов и требований, дополнительный запас капитала банка (показатель "буфер капитала")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Белгилениши/Обозначение </w:t>
            </w:r>
          </w:p>
        </w:tc>
        <w:tc>
          <w:tcPr>
            <w:tcW w:type="dxa" w:w="20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капиталынын ченемин жана кошумча запасты эсептөө ("капиталдын буфери" көрсөткүчү)/Расчет норматива и дополнительного запаса капитала банка (показателя "буфер капитала") </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капиталынын ченеминин жана кошумча запастын ("капитал буферинин" көрсөткүчү) айкын мааниси/Фактическое значение норматива и дополнительного запаса капитала банка (показателя "буфер капитала") </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капиталынын ченеминин жана кошумча запасынын белгиленген мааниси ("капитал буферинин" көрсөткүчү)/Установленное значение норматива и дополнительного запаса капитала банка (показателя "буфер капитала") </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 капиталынын белгиленген ченеминен жана кошумча запасынан четтөө ("капитал буферинин" көрсөткүчү)/Отклонение от установленного норматива и дополнительного запаса капитала банка (показателя "буфер капитала") </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Белгилениши/Обозначение </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Мааниси/Значение </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Бир карыз алуучуга тобокелдиктин максималдуу өлчөмү/Максимальный размер риска на одного заемщика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К1.1</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ашпаган/не более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К1.2</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СЗ</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ашпаган/не более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К1.3</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ашпаган/не более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К1.4</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МР</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ашпаган/не более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Капиталдын шайкештигинин ченеми/Норматив адекватности капитала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К2.1</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ашпаган/не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жана 14%**</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ЧРА+П*Кор</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К2.2</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эмес/не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 жана 9,5%**</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К2.3</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БКПУ</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эмес/не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жана 8%**</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К2.4</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КПУ</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эмес/не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СА+ЗО</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Ликвиддүүлүк ченеми/Норматив ликвидности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К3.1</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эмес/не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Чет өлкө валютасынын ликвиддүүлүгүнүн көрсөткүчү ("капитал буфери" көрсөткүчү)/Показатель ликвидности в иностранной валюте (показатель "буфер капитала")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ЛАВ</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кем эмес/не менее</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04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43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капиталынын кошумча запасы ("капиталдын буфери" көрсөткүчү)/Дополнительный запас капитала банка (показатель "буфер капитала") </w:t>
            </w:r>
          </w:p>
        </w:tc>
        <w:tc>
          <w:tcPr>
            <w:tcW w:type="dxa" w:w="143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ЧСК</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086"/>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3129"/>
            <w:gridSpan w:val="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ЧРА</w:t>
            </w:r>
          </w:p>
        </w:tc>
        <w:tc>
          <w:tcPr>
            <w:tcW w:type="dxa" w:w="10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gridSpan w:val="2"/>
            <w:vMerge w:val="continue"/>
            <w:tcBorders>
              <w:top w:val="none" w:color="auto" w:sz="0"/>
              <w:left w:val="none" w:color="auto" w:sz="0"/>
              <w:bottom w:val="single" w:color="CBBF9E" w:sz="4"/>
              <w:right w:val="single" w:color="CBBF9E" w:sz="4"/>
            </w:tcBorders>
          </w:tcPr>
          <w:p/>
        </w:tc>
        <w:tc>
          <w:tcPr>
            <w:gridSpan w:val="3"/>
            <w:vMerge w:val="continue"/>
            <w:tcBorders>
              <w:top w:val="none" w:color="auto" w:sz="0"/>
              <w:left w:val="none" w:color="auto" w:sz="0"/>
              <w:bottom w:val="single" w:color="CBBF9E" w:sz="4"/>
              <w:right w:val="single" w:color="CBBF9E" w:sz="4"/>
            </w:tcBorders>
          </w:tcPr>
          <w:p/>
        </w:tc>
      </w:tr>
    </w:tbl>
    <w:p>
      <w:pPr>
        <w:spacing w:after="120" w:before="120"/>
        <w:ind w:firstLine="567"/>
        <w:jc w:val="right"/>
      </w:pPr>
      <w:r>
        <w:rPr>
          <w:rFonts w:ascii="Arial" w:cs="Arial" w:eastAsia="Arial" w:hAnsi="Arial"/>
          <w:sz w:val="24"/>
          <w:szCs w:val="24"/>
        </w:rPr>
        <w:t xml:space="preserve">"; </w:t>
      </w:r>
    </w:p>
    <w:p>
      <w:pPr>
        <w:spacing w:after="120"/>
        <w:ind w:firstLine="567"/>
        <w:jc w:val="both"/>
      </w:pPr>
      <w:r>
        <w:rPr>
          <w:rFonts w:ascii="Arial" w:cs="Arial" w:eastAsia="Arial" w:hAnsi="Arial"/>
          <w:sz w:val="24"/>
          <w:szCs w:val="24"/>
        </w:rPr>
        <w:t xml:space="preserve">3) </w:t>
      </w:r>
      <w:r>
        <w:rPr>
          <w:rFonts w:ascii="Arial" w:cs="Arial" w:eastAsia="Arial" w:hAnsi="Arial"/>
          <w:sz w:val="24"/>
          <w:szCs w:val="24"/>
        </w:rPr>
        <w:t xml:space="preserve">Приложение 2</w:t>
      </w:r>
      <w:r>
        <w:rPr>
          <w:rFonts w:ascii="Arial" w:cs="Arial" w:eastAsia="Arial" w:hAnsi="Arial"/>
          <w:sz w:val="24"/>
          <w:szCs w:val="24"/>
        </w:rPr>
        <w:t xml:space="preserve"> отчета "Раздел 4. Пруденциальные отчеты. Подраздел 4.9 Экономические нормативы/показатели. 4.9.3. Отчет о выполнении требований Национального банка" изложить в следующей редакции: </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"4.9.3. Улуттук банктын талаптарынын аткарылышы жөнүндө отчет/
 4.9.3. Отчет о выполнении требований Национального банка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3"/>
        <w:gridCol w:w="1874"/>
        <w:gridCol w:w="1874"/>
        <w:gridCol w:w="1195"/>
        <w:gridCol w:w="1812"/>
      </w:tblGrid>
      <w:tr>
        <w:tc>
          <w:tcPr>
            <w:tcW w:type="dxa" w:w="342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Белгилениши/Обозначение</w:t>
            </w:r>
          </w:p>
        </w:tc>
        <w:tc>
          <w:tcPr>
            <w:tcW w:type="dxa" w:w="374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Ченемди эсептөө/Расчет норматива</w:t>
            </w:r>
          </w:p>
        </w:tc>
        <w:tc>
          <w:tcPr>
            <w:tcW w:type="dxa" w:w="119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Айкын мааниси/Фактическое значение</w:t>
            </w:r>
          </w:p>
        </w:tc>
        <w:tc>
          <w:tcPr>
            <w:tcW w:type="dxa" w:w="181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Белгиленген мааниси/Установленное значение</w:t>
            </w:r>
          </w:p>
        </w:tc>
      </w:tr>
      <w:tr>
        <w:tc>
          <w:tcPr>
            <w:vMerge w:val="continue"/>
            <w:tcBorders>
              <w:top w:val="single" w:color="CBBF9E" w:sz="4"/>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Белгилениши/Обозначение</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Мааниси/Значение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Бланктык кредиттер боюнча тобокелдиктин максималдуу өлчөмү/Максимальный размер риска по бланковым кредитам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Бланктык кредиттер/Бланковые кредиты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капиталдын 50%нан ашпаган/не более 50% от ЧСК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капитал/ЧСК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Аффилирленген жана байланыштуу жактары менен ар бир банк эмес уюмга кайсы гана болбосун финансылык салымдарды жана кредиттерди кошо алганда, кайсы гана болбосун инвестициялардын максималдуу өлчөмү/Максимальный размер любых инвестиций, включая любые финансовые вложения и кредиты в каждую небанковскую организацию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Инвестициялардын өлчөмү/Размер инвестиций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салуучу) капиталдын 15%нан аз/менее 15% от собственного (регулятивного) капитала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салуучу) капитал/Собственный (регулятивный) капитал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эмес уюмдарга жалпы инвестициялардын максималдуу өлчөмү/Максимальный размер общих инвестиций в небанковские организации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Инвестициялардын өлчөмү/Размер инвестиций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салынуучу) капиталдын 60%нан аз/менее 60% от собственного (регулятивного) капитала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салуучу) капитал/Собственный (регулятивный) капитал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Аффилирленген жана байланыштуу жактар менен операциялар боюнча тобокелдиктин максималдуу өлчөмү/Максимальный размер риска по операциям с аффилированными и связанными с лицами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Чогуу алынган карыз/Совокупная задолженность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салуучу) капиталдын 60%нан ашпаган/не более 60% от собственного (регулятивного) капитала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Өздүк (жөнгө салуучу) капитал/Собственный (регулятивный) капитал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Банктык жайларга инвестициялардын максималдуу өлчөмү (негизги каражаттар)/Максимальный размер инвестиций в банковские помещения (основные средства)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Инвестициялардын өлчөмү/Размер инвестиций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төлөнгөн уставдык капиталдын өлчөмүнүн 100%нан ашпаган/не более 100% от размера оплаченного уставного капитала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Төлөнгөн уставдык капитал/Оплаченный уставный капитал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Банктын мамлекеттердин өкмөттөрүнүн жана борбордук банктарынын баалуу кагаздарына инвестицияларынын жалпы өлчөмү/Общий размер инвестиций банка в ценные бумаги правительств и центральных банков государств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Инвестициялардын өлчөмү/Размер инвестиций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капиталдын 100%нан ашпаган/не более 100% от ЧСК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капитал/ЧСК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Банктын мамлекеттик эмес карыздык баалуу кагаздарга инвестицияларынын жалпы өлчөмү/Общий размер инвестиций банка в негосударственные долговые ценные бумаги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Инвестициялардын өлчөмү/Размер инвестиций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капиталдын 50%нан ашпаган/не более 50% от ЧСК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капитал/ЧСК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Банктын ири тобокелдиктеринин жалпы өлчөмү/Общий размер крупных рисков банка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ири тобокелдиктеринин жалпы суммасы/Общая сумма крупных рисков банка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капиталдын беш эсе өлчөмүнүн 100%нан ашпаган/не более 100% от пятикратного размера ЧСК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Таза суммардык капиталдын беш эсе өлчөмү/Пятикратный размер ЧСК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Баалуу металл түрүндөгү активдердин максималдуу өлчөмү жана кардарлардын тапшырмасы боюнча баалуу металлдар менен операцияларды ишке ашырууга каражаттардын суммасы/Максимальный объем активов в драгоценных металлах и сумма средств на осуществление операций с драгоценными металлами по поручению клиентов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Баалуу металл түрүндөгү активдердин көлөмү жана баалуу металлдар менен операцияларды ишке ашырууга каражаттардын суммасы/Объем активов в драгоценных металлах и сумма средств на осуществление операций с драгоценными металлами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төлөнгөн уставдык капиталынын 100%нан ашпаган/не более 100% от оплаченного уставного капитала банка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Төлөнгөн уставдык капитал/Оплаченный уставной капитал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42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Жеке адамдардан жана юридикалык жактардан тартылган депозиттердин максималдуу көлөмү*/Максимальный объем депозитов, привлеченных от физических и юридических лиц*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Жеке адамдардан жана юридикалык жактардан тартылган депозиттердин көлөмү/Объем депозитов, привлеченных от физических и юридических лиц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19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81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портфелинин өлчөмүнүн 50%нан ашпаган/не более 50% от размера кредитного портфеля </w:t>
            </w:r>
          </w:p>
        </w:tc>
      </w:tr>
      <w:tr>
        <w:tc>
          <w:tcPr>
            <w:vMerge w:val="continue"/>
            <w:tcBorders>
              <w:top w:val="none" w:color="auto" w:sz="0"/>
              <w:left w:val="single" w:color="CBBF9E" w:sz="4"/>
              <w:bottom w:val="single" w:color="CBBF9E" w:sz="4"/>
              <w:right w:val="single" w:color="CBBF9E" w:sz="4"/>
            </w:tcBorders>
          </w:tcP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Банктын кредит портфелинин өлчөмү/Размер кредитного портфеля банка </w:t>
            </w:r>
          </w:p>
        </w:tc>
        <w:tc>
          <w:tcPr>
            <w:tcW w:type="dxa" w:w="1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bl>
    <w:p>
      <w:pPr>
        <w:spacing w:after="120" w:before="120"/>
        <w:ind w:firstLine="567"/>
        <w:jc w:val="right"/>
      </w:pPr>
      <w:r>
        <w:rPr>
          <w:rFonts w:ascii="Arial" w:cs="Arial" w:eastAsia="Arial" w:hAnsi="Arial"/>
          <w:sz w:val="24"/>
          <w:szCs w:val="24"/>
        </w:rPr>
        <w:t xml:space="preserve">".</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uqnoxvqwzckddc_4md1w">
      <w:r>
        <w:rPr>
          <w:rFonts w:ascii="Arial" w:cs="Arial" w:eastAsia="Arial" w:hAnsi="Arial"/>
          <w:color w:val="132D3F"/>
          <w:sz w:val="16"/>
          <w:szCs w:val="16"/>
          <w:u w:val="single"/>
        </w:rPr>
        <w:t xml:space="preserve">dalil.kg/document/230030857</w:t>
      </w:r>
    </w:hyperlink>
  </w:p>
  <w:p>
    <w:pPr>
      <w:spacing w:after="0" w:before="40"/>
      <w:jc w:val="center"/>
    </w:pPr>
    <w:hyperlink w:history="1" r:id="rIdispnr5dnsbm5h3nmzcxd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gxv0hn9qvkzfwehpeasn" Type="http://schemas.openxmlformats.org/officeDocument/2006/relationships/hyperlink" Target="https://dalil.kg/document/112424#st_5" TargetMode="External"/><Relationship Id="rIda2bvmzyriwdos_al87jqm" Type="http://schemas.openxmlformats.org/officeDocument/2006/relationships/hyperlink" Target="https://dalil.kg/document/112424#st_9" TargetMode="External"/><Relationship Id="rIdafj0_cjyhya-m1hbijrls" Type="http://schemas.openxmlformats.org/officeDocument/2006/relationships/hyperlink" Target="https://dalil.kg/document/112424#st_64" TargetMode="External"/><Relationship Id="rIdqgd23taazbev-_mplto9r" Type="http://schemas.openxmlformats.org/officeDocument/2006/relationships/hyperlink" Target="https://dalil.kg/document/230030857#pr" TargetMode="External"/><Relationship Id="rId3el4iirg8aqpzs9klkpp2" Type="http://schemas.openxmlformats.org/officeDocument/2006/relationships/hyperlink" Target="https://dalil.kg/document/31372" TargetMode="External"/><Relationship Id="rIdzhu3hh4bp6_wwy9e_zdd0" Type="http://schemas.openxmlformats.org/officeDocument/2006/relationships/hyperlink" Target="https://dalil.kg/document/31371" TargetMode="External"/><Relationship Id="rId1ruwwni-7zht0gqnguros" Type="http://schemas.openxmlformats.org/officeDocument/2006/relationships/hyperlink" Target="https://dalil.kg/document/302285" TargetMode="External"/><Relationship Id="rIdmpdzbpczrbodxv5dwotvh" Type="http://schemas.openxmlformats.org/officeDocument/2006/relationships/hyperlink" Target="https://dalil.kg/document/301267" TargetMode="External"/><Relationship Id="rIdcnifhllmtehwdf70db-vj" Type="http://schemas.openxmlformats.org/officeDocument/2006/relationships/hyperlink" Target="https://dalil.kg/document/301269" TargetMode="External"/><Relationship Id="rIdu4qtmophbylikolwh_sd_" Type="http://schemas.openxmlformats.org/officeDocument/2006/relationships/hyperlink" Target="https://dalil.kg/document/230030857#pr" TargetMode="External"/><Relationship Id="rIdu2m9v-xgdiee2zuqsbx14" Type="http://schemas.openxmlformats.org/officeDocument/2006/relationships/hyperlink" Target="https://dalil.kg/document/31371" TargetMode="External"/><Relationship Id="rIdsolvy2bz-1sjolre2by2h" Type="http://schemas.openxmlformats.org/officeDocument/2006/relationships/hyperlink" Target="https://dalil.kg/document/31372" TargetMode="External"/><Relationship Id="rIdsxdcz3mh7g7nnfto_q-ce" Type="http://schemas.openxmlformats.org/officeDocument/2006/relationships/hyperlink" Target="https://dalil.kg/document/31372" TargetMode="External"/><Relationship Id="rIdqglsigbxraqlppyowctrh" Type="http://schemas.openxmlformats.org/officeDocument/2006/relationships/hyperlink" Target="https://dalil.kg/document/31371" TargetMode="External"/><Relationship Id="rIdgcyfj5xbhm7inv50u-mxq" Type="http://schemas.openxmlformats.org/officeDocument/2006/relationships/hyperlink" Target="https://dalil.kg/document/301267" TargetMode="External"/><Relationship Id="rIdu9ozg_o2sca6t7pyjfvz2" Type="http://schemas.openxmlformats.org/officeDocument/2006/relationships/hyperlink" Target="https://dalil.kg/document/302285" TargetMode="External"/><Relationship Id="rIdeydd6x1tnbezno_57qzli" Type="http://schemas.openxmlformats.org/officeDocument/2006/relationships/hyperlink" Target="https://dalil.kg/document/302285" TargetMode="External"/><Relationship Id="rIdsfr9n78dm45xck5fy2r_b" Type="http://schemas.openxmlformats.org/officeDocument/2006/relationships/hyperlink" Target="https://dalil.kg/document/301267" TargetMode="External"/><Relationship Id="rIdslpvvpj0kxrztw_hooxlr" Type="http://schemas.openxmlformats.org/officeDocument/2006/relationships/hyperlink" Target="https://dalil.kg/document/301269" TargetMode="External"/><Relationship Id="rIdgzyoltkyoambqjro-rhnx" Type="http://schemas.openxmlformats.org/officeDocument/2006/relationships/hyperlink" Target="https://dalil.kg/document/302291" TargetMode="External"/><Relationship Id="rIdajp4ikvcchc2bqla4jucs" Type="http://schemas.openxmlformats.org/officeDocument/2006/relationships/hyperlink" Target="https://dalil.kg/document/301269" TargetMode="External"/><Relationship Id="rIdywz0wyfdnh21omqcybs5c" Type="http://schemas.openxmlformats.org/officeDocument/2006/relationships/hyperlink" Target="https://dalil.kg/document/302285" TargetMode="External"/><Relationship Id="rIdgvz0r7zbzbypljuccow3l" Type="http://schemas.openxmlformats.org/officeDocument/2006/relationships/hyperlink" Target="https://dalil.kg/document/301267"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qnoxvqwzckddc_4md1w" Type="http://schemas.openxmlformats.org/officeDocument/2006/relationships/hyperlink" Target="https://dalil.kg/document/230030857" TargetMode="External"/><Relationship Id="rIdispnr5dnsbm5h3nmzcxd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2026-09-27T08:43:08.680Z</dcterms:created>
  <dcterms:modified xsi:type="dcterms:W3CDTF">2026-09-27T08:43:08.680Z</dcterms:modified>
</cp:coreProperties>
</file>

<file path=docProps/custom.xml><?xml version="1.0" encoding="utf-8"?>
<Properties xmlns="http://schemas.openxmlformats.org/officeDocument/2006/custom-properties" xmlns:vt="http://schemas.openxmlformats.org/officeDocument/2006/docPropsVTypes"/>
</file>