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учете и контроле товаров на территории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14 апреля 2022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pg7btkzqaasgeidtb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учете и контроле товаров на территории Кыргызской Республики» от 14 апреля 2022 года № 220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Республики, утвержденном вышеуказанным </w:t>
      </w:r>
      <w:hyperlink w:history="1" r:id="rIdgmdhbirzpl8u8xqvyy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24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«24) топливораздаточная колонка (далее – ТРК) –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таблице </w:t>
      </w:r>
      <w:r>
        <w:rPr>
          <w:rFonts w:ascii="Arial" w:cs="Arial" w:eastAsia="Arial" w:hAnsi="Arial"/>
          <w:sz w:val="24"/>
          <w:szCs w:val="24"/>
        </w:rPr>
        <w:t xml:space="preserve">пункта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</w:t>
      </w:r>
      <w:r>
        <w:rPr>
          <w:rFonts w:ascii="Arial" w:cs="Arial" w:eastAsia="Arial" w:hAnsi="Arial"/>
          <w:sz w:val="24"/>
          <w:szCs w:val="24"/>
        </w:rPr>
        <w:t xml:space="preserve"> 6 цифры «2711 11 000 0»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6312"/>
        <w:gridCol w:w="3369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нефтяной газ и сжиженны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углеводородный газ для использования в качестве топлива для автотранспортных средств (пропан)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 11 000 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 19 000 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2901 10 000 1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Субъекты предпринимательства обеспечивают ежемесячную передачу сведений об остатках, отгруженных объемах нефти и нефтепродуктов, а также показателей счетных механизмов ТРК в информационную систему уполномоченного налогового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данных об остатках, отгруженных объемах нефти и нефтепродуктов, а также показателей счетных механизмов ТРК утверждается уполномоченным налоговым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целях контроля оборота нефти и нефтепродуктов сотрудники территориального налогового органа ежемесячно осуществляют снятие остатков нефтепродуктов в емкостях нефтеперерабатывающего завода, нефтяной скважины, нефтебазы, нефтехранилища, железнодорожного сливного тупика, АЗС, автомобильной газозаправочной станции и показаний со счетных механизмов ТРК АЗС,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Технических требованиях</w:t>
      </w:r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 после слов «топливораздаточная колонка» дополнить словами «(далее – ТРК)»;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6 дополнить абзацами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иметь детализацию по каждой транзакции с указанием времени и номера ТРК;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показатели счетных механизмов по каждому рукаву </w:t>
      </w:r>
      <w:r>
        <w:rPr>
          <w:rFonts w:ascii="Arial" w:cs="Arial" w:eastAsia="Arial" w:hAnsi="Arial"/>
          <w:sz w:val="24"/>
          <w:szCs w:val="24"/>
        </w:rPr>
        <w:t xml:space="preserve">ТРК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и передавать каждое изменение и корректировку данных остатков нефти и нефтепродуктов с отражением всех операций.».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c 1 октября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сентября 2025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pg7btkzqaasgeidtb8g" Type="http://schemas.openxmlformats.org/officeDocument/2006/relationships/hyperlink" Target="http://kodeks.duckdns.org/document/159151" TargetMode="External"/><Relationship Id="rIdgmdhbirzpl8u8xqvyyxpw" Type="http://schemas.openxmlformats.org/officeDocument/2006/relationships/hyperlink" Target="http://kodeks.duckdns.org/document/1591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2026-09-23T11:52:24.321Z</dcterms:created>
  <dcterms:modified xsi:type="dcterms:W3CDTF">2026-09-23T11:52:24.321Z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