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сентября 2025 года №601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утверждении Плана мероприятий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снижению рисков возникновения чрезвычайных ситуаций на территории Кыргызской Республики на 2025–2030 годы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zxop5hx9rut-lcnw7x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снижению рисков возникновения чрезвычайных ситуаций на территории Кыргызской Республики на 2025–2030 годы» от 27 февраля 2025 года № 68,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pqkkuwb2bmpr_r6v_oe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снижению рисков возникновения чрезвычайных ситуаций на территории Кыргызской Республики на 2025–2030 годы (далее – План мероприятий)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матрицу индикаторов Плана мероприятий согласно </w:t>
      </w:r>
      <w:hyperlink w:history="1" r:id="rIdjoasdphb7ycpzuaiqpf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оценку ресурсной стоимости мероприятий, предусмотренных Планом мероприятий, согласно </w:t>
      </w:r>
      <w:hyperlink w:history="1" r:id="rIdct3gohqdofacxixmrd5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органам, органам местного самоуправления, задействованным в реализации Плана мероприятий: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принять меры по выполнению Плана мероприятий в установленные сроки;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ежеквартально не позднее 5 числа месяца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следующего за отчетным периодом, представлять информацию о ходе реализации Плана мероприятий в Министерство чрезвычайных ситуаций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чрезвычайных ситуаций Кыргызской Республики ежеквартально до 25 числа </w:t>
      </w:r>
      <w:r>
        <w:rPr>
          <w:rFonts w:ascii="Arial" w:cs="Arial" w:eastAsia="Arial" w:hAnsi="Arial"/>
          <w:sz w:val="24"/>
          <w:szCs w:val="24"/>
        </w:rPr>
        <w:t xml:space="preserve">месяца, </w:t>
      </w:r>
      <w:r>
        <w:rPr>
          <w:rFonts w:ascii="Arial" w:cs="Arial" w:eastAsia="Arial" w:hAnsi="Arial"/>
          <w:sz w:val="24"/>
          <w:szCs w:val="24"/>
        </w:rPr>
        <w:t xml:space="preserve">следующего за отчетным периодом, представлять обобщенную информацию о ходе выполнения Плана мероприятий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 осуществляется в пределах штатной численности и средств, предусмотренных в бюджете на соответствующий год для государственных органов, орган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местного самоуправления, а также иных источников, не запрещенных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 индикаторов Плана мероприятий по снижению рисков возникновения чрезвычайных ситуаций на территории Кыргызской Республики на 2025–2030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051"/>
        <w:gridCol w:w="1051"/>
        <w:gridCol w:w="1234"/>
        <w:gridCol w:w="922"/>
        <w:gridCol w:w="410"/>
        <w:gridCol w:w="410"/>
        <w:gridCol w:w="410"/>
        <w:gridCol w:w="410"/>
        <w:gridCol w:w="410"/>
        <w:gridCol w:w="410"/>
        <w:gridCol w:w="410"/>
        <w:gridCol w:w="953"/>
        <w:gridCol w:w="1078"/>
        <w:gridCol w:w="684"/>
      </w:tblGrid>
      <w:tr>
        <w:tc>
          <w:tcPr>
            <w:tcW w:type="dxa" w:w="3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 </w:t>
            </w:r>
          </w:p>
        </w:tc>
        <w:tc>
          <w:tcPr>
            <w:tcW w:type="dxa" w:w="2102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2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7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0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Ответствен-ные исполнители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81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Инвентаризация объектов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«Масштабная инвентаризация объектов и сооружений для пропуска селевых и паводковых вод», что соответствует ЦУР 11, из которой вытекает задача 11.5 «К 2030 году существенно сократить число погибших и пострадавших и значительно уменьшить прямой экономический ущерб в виде потерь мирового валового внутреннего продукта в результате бедствий, в том числе связанных с водой, уделяя особое внимание защите малоимущих и уязвимых групп населения».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показатель: Процент завершенной инвентаризации водопропускных, водонаправляющих и противопаводковых сооружений от общего числа объектов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Минстрой,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
  в областях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81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Превентивные меры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«Проведение меро-приятий по защите населен-ных пунктов и их инфра-структуры», что соответствует ЦУР 1, из которой вытекает глобальный показатель 1.5.2. «Прямые экономические потери от бедствий в процентном отношении к национальному валовому внутреннему продукту (ВВП)».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показатель: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доля ущерба от ЧС;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объем материального ущерба от бедствий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
  еще не 
  опубликован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1347,1</w:t>
            </w:r>
          </w:p>
        </w:tc>
        <w:tc>
          <w:tcPr>
            <w:tcW w:type="dxa" w:w="287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0,02 %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 (меньше чем 2024 год)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 ПКР 
  в областях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 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«Проведение анализа норм при расчетах проектировании водопропускных и водонаправляющих сооружений», что соответствует ЦУР 13, из которой вытекает задача 13.1 «Повысить сопротивляемость и способность адаптироваться к опасным климатическим явлениям и стихийным бедствиям во всех странах. Конечный показатель: Количество пересмотренных СНиП»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пересмо-тренных СНиП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7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МЭ, МЧС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Мин-строй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«Установление новых строительных норм и правил по инженерно-техническим мероприятиям Гражданской защиты Кыргызской Республики», что соответствует ЦУР 11, из которой вытекает задача 11.5 «К 2030 году существенно сократить число погибших и пострадавших и значительно уменьшить прямой экономический ущерб в пересчете на общемировой валовой внутренний продукт в результате бедствий, в том числе связанных с водой, уделяя особое внимание защите малоимущих и уязвимых слоев населения». Конечный показатель: 
  Количество нормативного документа по инженерно-техническим мероприятиям Гражданской защиты Кыргызской Республики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НПА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7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«Пересмотреть нормы обеспеченности персоналом аварийных и специализированных подразделений на объектах топливно-энергетического комплекса для работы», что соответствует ЦУР 11, 
  из которой вытекает задача 11.5 «К 2030 году существенно сократить число погибших и пострадавших и значительно уменьшить прямой экономический ущерб в пересчете на общемировой валовой внутренний продукт в результате бедствий, в том числе связанных с водой, уделяя особое внимание защите малоимущих и уязвимых слоев 
  населения». 
  Конечный показатель: 
  Процент обеспеченности аварийных и специализированных подразделений персоналом, соответствующий новым нормам, для оперативного реагирования на ЧС на объектах топливно-энергетического комплекса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7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МЧС,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10181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Техносферная безопасность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«Создание системы мониторинга техносферной безопасности промышленных опасных объектов и гидротехнических сооружений», что соответствует ЦУР 11 «Обеспечение открытости, безопасности, жизнестойкости и экологической устойчивости городов и населенных пунктов».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показатель: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надежной системы мониторинга техносферной безопасности промышленных опасных объектов и гидротехнических сооружений 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направлений системы мониторинга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10181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Инвестирование в лесные насаждения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«Долгосрочное инвестирование в зеленые лесные насаждения в предгорьях, в агролесоводство на поймах рек для снижения паводковых и селевых процессов, эрозии берегов и деградации земель», что соответствует: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ЦУР 13. Принятие срочных мер по борьбе с изменением климата и его последствиями.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ЦУР 15. Защита и восстановление экосистем суши и содействие их рациональному использованию, рациональное лесопользование, борьба с опустыниванием, прекращение и обращение вспять процесса деградации земель и прекращение процесса утраты разнообразия.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показатель: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площадь защитных лесных и агролесных 
  насаждений в зонах риска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Гектары (га)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 ПКР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РГА, ОМСУ 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81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Регламентирование, повышение потенциала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«Регламентирование повышения ответственности должностных лиц за ненадлежащее выполнение мероприятий по предупреждению и ликвидации ЧС», что соответствует ЦУР 1, из которой вытекает задача 1.5 «К 2030 году повысить жизнестойкость малоимущих и лиц, находящихся в уязвимом положении, и уменьшить их незащищенность и уязвимость перед вызванными изменением климата экстремальными явлениями и другими экономическими, социальными и экологическими потрясениями и бедствиями».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показатель: 
  Приняты нормативные акты, усиливающие ответственность должностных лиц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НПА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 «Принятие комплекса превентивных мер по заблаговременной подготовке к реагированию на чрезвычайные ситуации», что соответствует ЦУР 11, из которой вытекает задача 11.5 «К 2030 году существенно сократить число погибших и пострадавших и значительно уменьшить прямой экономический ущерб в пересчете на общемировой валовой внутренний продукт в результате бедствий, в том числе связанных с водой, уделяя особое внимание защите малоимущих и уязвимых слоев населения». 
  Конечный показатель: процент взрослого населения информированы о способах защиты при ЧС и пожарах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МКИМП, 
  ПП ПКР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областях, ОМСУ 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Задача: «Обеспечение надлежащего надзора и контроля за соблюдением строительных норм и правил сейсмостойкого строительства, генеральных планов городов», что соответствует ЦУР 11, из 
  которой вытекает задача 11.5 «К 2030 году существенно сократить число погибших и пострадавших и значительно уменьшить прямой экономический ущерб в пересчете на общемировой валовой внутренний продукт в результате бедствий, в том числе связанных с водой, уделяя особое внимание защите малоимущих и уязвимых слоев населения». 
  Конечный показатель: 
  Количество систем регулярных проверок и отчетности для соблюдения строительных норм и правил сейсмостойкости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систем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7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tcW w:type="dxa" w:w="10181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Финансирование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 «Финансирование 
  расходов на проведение мероприятий по защите населения и территорий от чрезвычайных ситуаций», что соответствует ЦУР 1, из которой вытекает задача 1.5 «К 2030 году повысить жизнестойкость малоимущих и лиц, находящихся в уязвимом положении, и уменьшить их незащищенность и уязвимость перед вызванными 
  изменением климата экстремальными явлениями и 
  другими экономическими, 
  социальными и экологическими потрясениями и 
  бедствиями». 
  Конечный показатель: 
  Ежегодное планирование и выделение средств на мероприятия Гражданской защиты в министерствах, ведомствах, ОМСУ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от 
  общего 
  количества министерств, ведомств и ОМСУ финансирующих мероприятия ГЗ (%)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10 %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 Матрица индикаторов разработана согласно Стандарту по формированию государственных стратегических документов, утвержденного постановлением Кабинета Министров Кыргызской Республики «О некоторых вопросах в сфере стратегического управления»</w:t>
      </w:r>
      <w:r>
        <w:rPr>
          <w:rFonts w:ascii="Arial" w:cs="Arial" w:eastAsia="Arial" w:hAnsi="Arial"/>
          <w:sz w:val="24"/>
          <w:szCs w:val="24"/>
        </w:rPr>
        <w:t xml:space="preserve">от 22 августа 2024 года № 484.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ресурсной стоимости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Плана мероприятий по снижению рисков возникновения чрезвычайных ситуаций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территории Кыргызской Республики на 2025–2030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"/>
        <w:gridCol w:w="614"/>
        <w:gridCol w:w="627"/>
        <w:gridCol w:w="364"/>
        <w:gridCol w:w="333"/>
        <w:gridCol w:w="333"/>
        <w:gridCol w:w="333"/>
        <w:gridCol w:w="333"/>
        <w:gridCol w:w="317"/>
        <w:gridCol w:w="317"/>
        <w:gridCol w:w="317"/>
        <w:gridCol w:w="317"/>
        <w:gridCol w:w="1467"/>
        <w:gridCol w:w="1467"/>
        <w:gridCol w:w="1467"/>
        <w:gridCol w:w="1467"/>
      </w:tblGrid>
      <w:tr>
        <w:tc>
          <w:tcPr>
            <w:tcW w:type="dxa" w:w="1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6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3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2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58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Масштабная инвен-
  таризация объектов и сооружений для пропуска селевых и павод-
  ковых вод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Создание многофунк-
  циональной межведомст-венной комиссии по инвентаризации объектов и сооружений для пропуска селевых и паводковых вод: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водопропуск-ных сооружений (трубы, лотки, дюкеры, мосты с пролетами);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водонаправ-ляющих сооружений (дамбы, каналы, водоотводы, берегоукрепительные конструкции);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противо-
  паводковых 
  сооружений (селехранилища, водосборы)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Поэтапная инвентаризация объектов и всех водопропускных, водонаправляющих и противопаводковых сооружений для пропуска селевых и паводковых вод (на уровне ОМСУ, министерств, ведомств, республики)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46605,9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46605,9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46605,9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46605,9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Паспортизация водопропускных, водонаправляющих и противопаводковых сооружений с созданием единого реестра  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16608,1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16608,1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16608,1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16608,1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Разработка и утверждение решения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Министров КР по определению балансовой принадлежности объектов и субсидированию эксплуатации сооружений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защите населенных пунктов и их инфраструктуры 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Разработка планов защитных мероприятий от селевых и паводковых вод: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республиканском уровне совместный план защитных мероприятий;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уровне органов местного самоуправления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8050,0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8050,0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8050,0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8050,0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Проведение защитных мероприятий от селевых и паводковых вод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752500,0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Реализация ежегодных детальных планов действий по обеспечению безопасного пропуска вод в соответствии с местными стратегиями снижения риска бедствий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
  в весенне-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норм при расчетах проектирования водопропускных и водонаправляющих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сооружений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норм проектирования для повышения эффективности водопропускных и водонаправ-ляющих сооружений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 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
  новых строительных норм и правил по инженерно-техническим мероприятиям Гражданской защиты Кыргызской Республики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нормативного документа по инженерно-техническим мероприятиям Гражданской защиты Кыргызской Республики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 норм обеспеченности персоналом аварийных и специализированных подразделений на объектах топливно-энергетического комп-
  лекса для работы в условиях аварий 
  и катастроф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Анализ существующей сис-темы укомплектованности персоналом аварийных и специализированных подразделений на объектах топливно-энергетического комплекса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 8 чел. на 6 мес. з/п по 50000 сом)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 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и утверждение новых нормативов численности, квалификационных требований к персоналу и их оснащенности техникой, оборудованием, снаряжением и обмундированием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 8 чел. на 4 мес. з/п по 50000 сом)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 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Пересмотр Планов ликвидации аварий с учетом новых норм обеспеченности 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 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техносферной безопасности промышленных опасных объектов и гидротехнических сооружений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Создание межведомственной рабочей группы по направлениям: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опасные производственные объекты;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экологический и радиационный мониторинг;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энергетическая безопасность;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гидротехнические сооружения;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устойчивые города;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транспорт, аэропорты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и утверждение концепции национальной системы мониторинга техносферной безопасности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Выработка предложения по созданию базы данных опасных производственных объектов и внедрению автоматизированных систем мониторинга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2027–2028 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Разработка алгоритмов быстрого реагирования на техногенные аварии и катастрофы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 10 чел. на 4 мес. з/п по 40000 сом)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Подготовка и принятие нормативных правовых актов, устанавливающих порядок функционирования системы раннего оповещения населения, включая установление технических и организационных требований, алгоритмов действий, 
  регламентов 
  взаимодествия уполномоченных органов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Долгосрочное инвестирование в зеленые лесные насаждения в предгорьях, в агролесоводство на поймах рек для снижения паводковых и селевых процессов, эрозии берегов и деградации земель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Разработка проекта решения Кабинета Министров КР по поддержке создания защитных лесных насаждений, агролесоводству и выращиванию посадочного материала в питомниках лесных хозяйств и государственных природных парков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393,3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393,3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393,3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393,3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Проведение исследований: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почв, гидрологии, рисков с применением ГИС-картографии на пилотных потенциально-опасных участках в предгорьях и поймах рек;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утвердить методику посадок зеленых насаждений на склонах и поймах рек с конкретными видами растений с учетом климатических условий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Посадка насаждений на потенциально-опасных пилотных участках: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в предгорье посадка деревьев с глубокой корневой системой, создание лесополосы;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в пойме реки агролесоводство смешанной посадки и террасировние склона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Масштабирование посадки насаждений с привлечением доноров, партнеров по развитию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2029–2030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Скрининг зеленых насаждений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Регламентирование повышения ответствен-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должностных лиц за ненадлежащее выполнение мероприятий по предупреждению и ликвидации ЧС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Внесение изменений в законодательные акты, направленные на регулирование и нормирование ответственности должностных лиц за несоблюдение норм по предупреждению и ликвидации ЧС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механизмов по экспертизе, контролю и надзору в области предупреждения и ликвидации ЧС 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комплекса превентивных мер по заблаговременной подготовке к реагированию на ЧС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Организация компаний по повышению осведомленности населения о культуре безо-пасности при ЧС и пожарах (на 10 чел. на 11 мес. з/п по 50000 сом, командировочные 5 млн сом)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Внедрение новых технологий в систему экстренного оповещения населения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(закупка и доставка 1000 электро-звуковых сирен и установка)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Создание резервов материально-технических ресурсов для ликвидации последствий ЧС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Приобретение техники, оборудования и снаряжения для сил реагирования на ЧС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2055957,7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2355957,7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2055957,7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2055957,7</w:t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надлежащего надзора и контроля за соблюдением строительных норм и правил сейсмостойкого строительства, генеральных планов городов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Разработка и внедрение сис-темы регулярных проверок соблюдения строительных норм и правил сейсмостойкости, соответствия реального строительства утвержденным планам и использование ГИС-технологий для мониторинга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и внедрение цифровой системы отчетности для контроля за выполнением строительных норм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2027–2028 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 на проведение мероприятий по защите населения и территорий от ЧС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методического руководства государственным органам и органам местного самоуправления по планированию финансовых средств на предупреждение, ликвидацию последствий и восстановление после ЧС (разбивка по статьям расходов бюджета)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данным, в январе 2025 года среднемесячная номинальная зарплата в Кыргызстане составила 39 342 сома)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354,08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354,08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354,08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354,08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2273790,06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2426657,7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5552947,76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2273790,06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3126290,06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2426657,7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2426657,7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gvkmai54zbe_vrdcl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dalil.kg/document/230031490</w:t>
      </w:r>
    </w:hyperlink>
  </w:p>
  <w:p>
    <w:pPr>
      <w:spacing w:after="0" w:before="40"/>
      <w:jc w:val="center"/>
    </w:pPr>
    <w:hyperlink w:history="1" r:id="rIdhcepoerivknhohv8us4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xop5hx9rut-lcnw7xjr" Type="http://schemas.openxmlformats.org/officeDocument/2006/relationships/hyperlink" Target="https://dalil.kg/document/230023169" TargetMode="External"/><Relationship Id="rIdpqkkuwb2bmpr_r6v_oepu" Type="http://schemas.openxmlformats.org/officeDocument/2006/relationships/hyperlink" Target="https://dalil.kg/document/230031503" TargetMode="External"/><Relationship Id="rIdjoasdphb7ycpzuaiqpfz4" Type="http://schemas.openxmlformats.org/officeDocument/2006/relationships/hyperlink" Target="https://dalil.kg/document/230031490#pr2" TargetMode="External"/><Relationship Id="rIdct3gohqdofacxixmrd5-o" Type="http://schemas.openxmlformats.org/officeDocument/2006/relationships/hyperlink" Target="https://dalil.kg/document/230031490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gvkmai54zbe_vrdclhu" Type="http://schemas.openxmlformats.org/officeDocument/2006/relationships/hyperlink" Target="https://dalil.kg/document/230031490" TargetMode="External"/><Relationship Id="rIdhcepoerivknhohv8us4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2026-09-27T07:03:22.132Z</dcterms:created>
  <dcterms:modified xsi:type="dcterms:W3CDTF">2026-09-27T07:03:22.132Z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