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w:t>
      </w:r>
    </w:p>
    <w:p>
      <w:pPr>
        <w:spacing w:after="120"/>
        <w:jc w:val="right"/>
      </w:pPr>
      <w:r>
        <w:rPr>
          <w:rFonts w:ascii="Arial" w:cs="Arial" w:eastAsia="Arial" w:hAnsi="Arial"/>
          <w:i/>
          <w:iCs/>
          <w:sz w:val="24"/>
          <w:szCs w:val="24"/>
        </w:rPr>
        <w:t xml:space="preserve">(к </w:t>
      </w:r>
      <w:hyperlink w:history="1" r:id="rIdwetivn6a6mgxb6aiyxgws">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Кабинета Министров </w:t>
      </w:r>
      <w:r>
        <w:rPr>
          <w:rFonts w:ascii="Arial" w:cs="Arial" w:eastAsia="Arial" w:hAnsi="Arial"/>
          <w:i/>
          <w:iCs/>
          <w:sz w:val="24"/>
          <w:szCs w:val="24"/>
        </w:rPr>
        <w:t xml:space="preserve">Кыргызской Республики
 от 23 сентября 2025 года № 605)</w:t>
      </w:r>
    </w:p>
    <w:p>
      <w:pPr>
        <w:spacing w:after="240" w:before="200"/>
        <w:jc w:val="center"/>
      </w:pPr>
      <w:r>
        <w:rPr>
          <w:rFonts w:ascii="Arial" w:cs="Arial" w:eastAsia="Arial" w:hAnsi="Arial"/>
          <w:b/>
          <w:bCs/>
          <w:sz w:val="32"/>
          <w:szCs w:val="32"/>
        </w:rPr>
        <w:t xml:space="preserve">ПОРЯДОК
 предоставления поручительства субъектам национальной экономики</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постановлений Кабинета Министров КР от </w:t>
      </w:r>
      <w:hyperlink w:history="1" r:id="rIdloro8ulwssqxeynspwa1i">
        <w:r>
          <w:rPr>
            <w:rFonts w:ascii="Arial" w:cs="Arial" w:eastAsia="Arial" w:hAnsi="Arial"/>
            <w:i/>
            <w:iCs/>
            <w:color w:val="1D4ED8"/>
            <w:sz w:val="24"/>
            <w:szCs w:val="24"/>
            <w:u w:val="single"/>
          </w:rPr>
          <w:t xml:space="preserve">11 декабря 2025 года № 799</w:t>
        </w:r>
      </w:hyperlink>
      <w:r>
        <w:rPr>
          <w:rFonts w:ascii="Arial" w:cs="Arial" w:eastAsia="Arial" w:hAnsi="Arial"/>
          <w:sz w:val="24"/>
          <w:szCs w:val="24"/>
        </w:rPr>
        <w:t xml:space="preserve">, </w:t>
      </w:r>
      <w:hyperlink w:history="1" r:id="rIdbrz3fz2wtdwzys5-gmw6b">
        <w:r>
          <w:rPr>
            <w:rFonts w:ascii="Arial" w:cs="Arial" w:eastAsia="Arial" w:hAnsi="Arial"/>
            <w:i/>
            <w:iCs/>
            <w:color w:val="1D4ED8"/>
            <w:sz w:val="24"/>
            <w:szCs w:val="24"/>
            <w:u w:val="single"/>
          </w:rPr>
          <w:t xml:space="preserve">26 мая 2026 года № 371</w:t>
        </w:r>
      </w:hyperlink>
      <w:r>
        <w:rPr>
          <w:rFonts w:ascii="Arial" w:cs="Arial" w:eastAsia="Arial" w:hAnsi="Arial"/>
          <w:i/>
          <w:iCs/>
          <w:sz w:val="24"/>
          <w:szCs w:val="24"/>
        </w:rPr>
        <w:t xml:space="preserve">, </w:t>
      </w:r>
      <w:hyperlink w:history="1" r:id="rIdy4pmwdwy5lst1piclbuki">
        <w:r>
          <w:rPr>
            <w:rFonts w:ascii="Arial" w:cs="Arial" w:eastAsia="Arial" w:hAnsi="Arial"/>
            <w:i/>
            <w:iCs/>
            <w:color w:val="1D4ED8"/>
            <w:sz w:val="24"/>
            <w:szCs w:val="24"/>
            <w:u w:val="single"/>
          </w:rPr>
          <w:t xml:space="preserve">1 июля 2026 года № 454</w:t>
        </w:r>
      </w:hyperlink>
      <w:r>
        <w:rPr>
          <w:rFonts w:ascii="Arial" w:cs="Arial" w:eastAsia="Arial" w:hAnsi="Arial"/>
          <w:i/>
          <w:iCs/>
          <w:sz w:val="24"/>
          <w:szCs w:val="24"/>
        </w:rPr>
        <w:t xml:space="preserve">, </w:t>
      </w:r>
      <w:hyperlink w:history="1" r:id="rIdrkg_-bnihdplxktkjbeii">
        <w:r>
          <w:rPr>
            <w:rFonts w:ascii="Arial" w:cs="Arial" w:eastAsia="Arial" w:hAnsi="Arial"/>
            <w:i/>
            <w:iCs/>
            <w:color w:val="1D4ED8"/>
            <w:sz w:val="24"/>
            <w:szCs w:val="24"/>
            <w:u w:val="single"/>
          </w:rPr>
          <w:t xml:space="preserve">10 июля 2026 года № 480</w:t>
        </w:r>
      </w:hyperlink>
      <w:r>
        <w:rPr>
          <w:rFonts w:ascii="Arial" w:cs="Arial" w:eastAsia="Arial" w:hAnsi="Arial"/>
          <w:i/>
          <w:iCs/>
          <w:sz w:val="24"/>
          <w:szCs w:val="24"/>
        </w:rPr>
        <w:t xml:space="preserve"> )</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 Общие положения</w:t>
      </w:r>
    </w:p>
    <w:p>
      <w:pPr>
        <w:spacing w:after="120"/>
        <w:ind w:firstLine="567"/>
        <w:jc w:val="both"/>
      </w:pPr>
      <w:r>
        <w:rPr>
          <w:rFonts w:ascii="Arial" w:cs="Arial" w:eastAsia="Arial" w:hAnsi="Arial"/>
          <w:sz w:val="24"/>
          <w:szCs w:val="24"/>
        </w:rPr>
        <w:t xml:space="preserve">1. Порядок предоставления поручительства субъектам национальной экономики (далее - Порядок) регламентирует процедуру предоставления поручительства субъектам национальной экономики уполномоченным Кабинетом Министров Кыргызской Республики (далее - Кабинет Министров) лицом.</w:t>
      </w:r>
    </w:p>
    <w:p>
      <w:pPr>
        <w:spacing w:after="120"/>
        <w:ind w:firstLine="567"/>
        <w:jc w:val="both"/>
      </w:pPr>
      <w:r>
        <w:rPr>
          <w:rFonts w:ascii="Arial" w:cs="Arial" w:eastAsia="Arial" w:hAnsi="Arial"/>
          <w:sz w:val="24"/>
          <w:szCs w:val="24"/>
        </w:rPr>
        <w:t xml:space="preserve">2. Поручительство предоставляется юридическим лицам – резидентам Кыргызской Республики по решению Кабинета Министров по согласованию с профильным комитетом Жогорку Кенеша Кыргызской Республики в целях оказания государственной поддержки для обеспечения исполнения обязательств субъектов национальной экономики (далее – субъекты) по кредитному договору, договору финансовой аренды (лизинга), банковской гарантии или договору (соглашению) подряда.</w:t>
      </w:r>
    </w:p>
    <w:p>
      <w:pPr>
        <w:spacing w:after="120"/>
        <w:ind w:firstLine="567"/>
        <w:jc w:val="both"/>
      </w:pPr>
      <w:r>
        <w:rPr>
          <w:rFonts w:ascii="Arial" w:cs="Arial" w:eastAsia="Arial" w:hAnsi="Arial"/>
          <w:sz w:val="24"/>
          <w:szCs w:val="24"/>
        </w:rPr>
        <w:t xml:space="preserve">Поручительство не может быть предоставлено для обеспечения исполнения обязательств субъектов по инвестиционным соглашениям, за исключением случаев, когда участие инвестора в финансировании проекта составляет не менее 30 (тридцать) процентов от общей стоимости проекта, подтвержденной соответствующими документами.</w:t>
      </w:r>
    </w:p>
    <w:p>
      <w:pPr>
        <w:spacing w:after="120"/>
        <w:ind w:firstLine="567"/>
        <w:jc w:val="both"/>
      </w:pPr>
      <w:r>
        <w:rPr>
          <w:rFonts w:ascii="Arial" w:cs="Arial" w:eastAsia="Arial" w:hAnsi="Arial"/>
          <w:sz w:val="24"/>
          <w:szCs w:val="24"/>
        </w:rPr>
        <w:t xml:space="preserve">3. Цель поручительства - оказание государственной поддержки субъектам для обеспечения экономической, национальной и продовольственной безопасности Кыргызской Республики, а также поддержание стабильности и развитие отраслей экономики.</w:t>
      </w:r>
    </w:p>
    <w:p>
      <w:pPr>
        <w:spacing w:after="60"/>
        <w:ind w:firstLine="567"/>
        <w:jc w:val="both"/>
      </w:pPr>
      <w:r>
        <w:rPr>
          <w:rFonts w:ascii="Arial" w:cs="Arial" w:eastAsia="Arial" w:hAnsi="Arial"/>
          <w:sz w:val="24"/>
          <w:szCs w:val="24"/>
        </w:rPr>
        <w:t xml:space="preserve">4. Поручительство предоставляется для обеспечения обязательств полностью или в части, не покрывающейся залоговым обеспечением по кредитному договору, договору финансовой аренды (лизинга), банковской гарантии или договору (соглашению) подряда.</w:t>
      </w:r>
    </w:p>
    <w:p>
      <w:pPr>
        <w:spacing w:after="60"/>
        <w:ind w:firstLine="567"/>
        <w:jc w:val="both"/>
      </w:pPr>
      <w:r>
        <w:rPr>
          <w:rFonts w:ascii="Arial" w:cs="Arial" w:eastAsia="Arial" w:hAnsi="Arial"/>
          <w:sz w:val="24"/>
          <w:szCs w:val="24"/>
        </w:rPr>
        <w:t xml:space="preserve">При этом предоставление поручительства по обязательствам субъекта, полностью не обеспеченным залогом, допускается исключительно в случаях, связанных с обеспечением экономической и (или) национальной безопасности страны, на основании решения Кабинета Министров.</w:t>
      </w:r>
    </w:p>
    <w:p>
      <w:pPr>
        <w:spacing w:after="60"/>
        <w:ind w:firstLine="567"/>
        <w:jc w:val="both"/>
      </w:pPr>
      <w:r>
        <w:rPr>
          <w:rFonts w:ascii="Arial" w:cs="Arial" w:eastAsia="Arial" w:hAnsi="Arial"/>
          <w:sz w:val="24"/>
          <w:szCs w:val="24"/>
        </w:rPr>
        <w:t xml:space="preserve">Положения настоящего пункта применяются с учетом требований, предусмотренных пунктом 4</w:t>
      </w:r>
      <w:r>
        <w:rPr>
          <w:rFonts w:ascii="Arial" w:cs="Arial" w:eastAsia="Arial" w:hAnsi="Arial"/>
          <w:sz w:val="20"/>
          <w:szCs w:val="20"/>
        </w:rPr>
        <w:t xml:space="preserve">1</w:t>
      </w:r>
      <w:r>
        <w:rPr>
          <w:rFonts w:ascii="Arial" w:cs="Arial" w:eastAsia="Arial" w:hAnsi="Arial"/>
          <w:sz w:val="24"/>
          <w:szCs w:val="24"/>
        </w:rPr>
        <w:t xml:space="preserve"> настоящего Порядка.</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rnsezp01e-rouvcumwp4t">
        <w:r>
          <w:rPr>
            <w:rFonts w:ascii="Arial" w:cs="Arial" w:eastAsia="Arial" w:hAnsi="Arial"/>
            <w:i/>
            <w:iCs/>
            <w:color w:val="1D4ED8"/>
            <w:sz w:val="24"/>
            <w:szCs w:val="24"/>
            <w:u w:val="single"/>
          </w:rPr>
          <w:t xml:space="preserve">26 мая 2026 года № 371</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4</w:t>
      </w:r>
      <w:r>
        <w:rPr>
          <w:rFonts w:ascii="Arial" w:cs="Arial" w:eastAsia="Arial" w:hAnsi="Arial"/>
          <w:sz w:val="20"/>
          <w:szCs w:val="20"/>
        </w:rPr>
        <w:t xml:space="preserve">1</w:t>
      </w:r>
      <w:r>
        <w:rPr>
          <w:rFonts w:ascii="Arial" w:cs="Arial" w:eastAsia="Arial" w:hAnsi="Arial"/>
          <w:sz w:val="24"/>
          <w:szCs w:val="24"/>
        </w:rPr>
        <w:t xml:space="preserve">. Размер поручительства не может превышать 80 процентов от общей суммы обязательств субъекта по кредиту, лизингу, банковской гарантии или договору (соглашению) подряда, включая основную сумму долга, начисленные проценты и иные платежи, предусмотренные договором, заключенным между кредитором и субъектом.</w:t>
      </w:r>
    </w:p>
    <w:p>
      <w:pPr>
        <w:spacing w:after="120"/>
        <w:ind w:firstLine="709"/>
        <w:jc w:val="both"/>
      </w:pPr>
      <w:r>
        <w:rPr>
          <w:rFonts w:ascii="Arial" w:cs="Arial" w:eastAsia="Arial" w:hAnsi="Arial"/>
          <w:sz w:val="24"/>
          <w:szCs w:val="24"/>
        </w:rPr>
        <w:t xml:space="preserve">Допускается предоставление поручительства в размере 100 процентов от общей суммы обязательств по кредиту, лизингу, банковской гарантии, договору (соглашению) подряда, включая основную сумму долга, начисленные проценты и иные платежи, предусмотренные договором, заключенным между кредитором и субъектом, в отношении:</w:t>
      </w:r>
    </w:p>
    <w:p>
      <w:pPr>
        <w:spacing w:after="120"/>
        <w:ind w:firstLine="709"/>
        <w:jc w:val="both"/>
      </w:pPr>
      <w:r>
        <w:rPr>
          <w:rFonts w:ascii="Arial" w:cs="Arial" w:eastAsia="Arial" w:hAnsi="Arial"/>
          <w:sz w:val="24"/>
          <w:szCs w:val="24"/>
        </w:rPr>
        <w:t xml:space="preserve">– государственных и муниципальных органов, предприятий и учреждений;</w:t>
      </w:r>
    </w:p>
    <w:p>
      <w:pPr>
        <w:spacing w:after="120"/>
        <w:ind w:firstLine="709"/>
        <w:jc w:val="both"/>
      </w:pPr>
      <w:r>
        <w:rPr>
          <w:rFonts w:ascii="Arial" w:cs="Arial" w:eastAsia="Arial" w:hAnsi="Arial"/>
          <w:sz w:val="24"/>
          <w:szCs w:val="24"/>
        </w:rPr>
        <w:t xml:space="preserve">– субъектов, в уставном капитале которых 50 и более процентов доли участия принадлежат государству;</w:t>
      </w:r>
    </w:p>
    <w:p>
      <w:pPr>
        <w:spacing w:after="120"/>
        <w:ind w:firstLine="709"/>
        <w:jc w:val="both"/>
      </w:pPr>
      <w:r>
        <w:rPr>
          <w:rFonts w:ascii="Arial" w:cs="Arial" w:eastAsia="Arial" w:hAnsi="Arial"/>
          <w:sz w:val="24"/>
          <w:szCs w:val="24"/>
        </w:rPr>
        <w:t xml:space="preserve">– субъектов независимо от их организационно-правовых форм и форм собственности при реализации проектов, включенных Комиссией при Кабинете Министров Кыргызской Республики по отбору национальных инвестиционных проектов и проектов государственного значения в перечень национальных инвестиционных проектов и проектов государственного значения.</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mdn2ust079f8doymnz_hc">
        <w:r>
          <w:rPr>
            <w:rFonts w:ascii="Arial" w:cs="Arial" w:eastAsia="Arial" w:hAnsi="Arial"/>
            <w:i/>
            <w:iCs/>
            <w:color w:val="1D4ED8"/>
            <w:sz w:val="24"/>
            <w:szCs w:val="24"/>
            <w:u w:val="single"/>
          </w:rPr>
          <w:t xml:space="preserve">10 июля 2026 года № 480</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5. Поручительство предоставляется на срок действия договора, заключенного между кредитором и/или контрагентом, и субъектом, и прекращает свое действие после завершения обязательств поручителя.</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i_gzih2rzofnv2gc2uc_j">
        <w:r>
          <w:rPr>
            <w:rFonts w:ascii="Arial" w:cs="Arial" w:eastAsia="Arial" w:hAnsi="Arial"/>
            <w:i/>
            <w:iCs/>
            <w:color w:val="1D4ED8"/>
            <w:sz w:val="24"/>
            <w:szCs w:val="24"/>
            <w:u w:val="single"/>
          </w:rPr>
          <w:t xml:space="preserve">26 мая 2026 года № 371</w:t>
        </w:r>
      </w:hyperlink>
      <w:r>
        <w:rPr>
          <w:rFonts w:ascii="Arial" w:cs="Arial" w:eastAsia="Arial" w:hAnsi="Arial"/>
          <w:i/>
          <w:iCs/>
          <w:sz w:val="24"/>
          <w:szCs w:val="24"/>
        </w:rPr>
        <w:t xml:space="preserve">, </w:t>
      </w:r>
      <w:hyperlink w:history="1" r:id="rId-a2m1yxqmyhh6vv_oniec">
        <w:r>
          <w:rPr>
            <w:rFonts w:ascii="Arial" w:cs="Arial" w:eastAsia="Arial" w:hAnsi="Arial"/>
            <w:i/>
            <w:iCs/>
            <w:color w:val="1D4ED8"/>
            <w:sz w:val="24"/>
            <w:szCs w:val="24"/>
            <w:u w:val="single"/>
          </w:rPr>
          <w:t xml:space="preserve">10 июля 2026 года № 480 </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6. В настоящем Порядке используются следующие определения:</w:t>
      </w:r>
    </w:p>
    <w:p>
      <w:pPr>
        <w:spacing w:after="12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национальная безопасность</w:t>
      </w:r>
      <w:r>
        <w:rPr>
          <w:rFonts w:ascii="Arial" w:cs="Arial" w:eastAsia="Arial" w:hAnsi="Arial"/>
          <w:sz w:val="24"/>
          <w:szCs w:val="24"/>
        </w:rPr>
        <w:t xml:space="preserve"> - гарантированное состояние защищенности жизненно важных интересов личности, общества и государства от внутренних и внешних угроз;</w:t>
      </w:r>
    </w:p>
    <w:p>
      <w:pPr>
        <w:spacing w:after="120"/>
        <w:ind w:firstLine="567"/>
        <w:jc w:val="both"/>
      </w:pPr>
      <w:r>
        <w:rPr>
          <w:rFonts w:ascii="Arial" w:cs="Arial" w:eastAsia="Arial" w:hAnsi="Arial"/>
          <w:sz w:val="24"/>
          <w:szCs w:val="24"/>
        </w:rPr>
        <w:t xml:space="preserve">2) </w:t>
      </w:r>
      <w:r>
        <w:rPr>
          <w:rFonts w:ascii="Arial" w:cs="Arial" w:eastAsia="Arial" w:hAnsi="Arial"/>
          <w:b/>
          <w:bCs/>
          <w:sz w:val="24"/>
          <w:szCs w:val="24"/>
        </w:rPr>
        <w:t xml:space="preserve">уполномоченный государственный орган по прогнозированию и исполнению бюджета</w:t>
      </w:r>
      <w:r>
        <w:rPr>
          <w:rFonts w:ascii="Arial" w:cs="Arial" w:eastAsia="Arial" w:hAnsi="Arial"/>
          <w:sz w:val="24"/>
          <w:szCs w:val="24"/>
        </w:rPr>
        <w:t xml:space="preserve"> - центральный орган исполнительной власти, уполномоченный Кабинетом Министров для выработки государственной политики, координационного регулирования и выполнения исполнительных функций в бюджетной и финансовой сферах;</w:t>
      </w:r>
    </w:p>
    <w:p>
      <w:pPr>
        <w:spacing w:after="120"/>
        <w:ind w:firstLine="567"/>
        <w:jc w:val="both"/>
      </w:pPr>
      <w:r>
        <w:rPr>
          <w:rFonts w:ascii="Arial" w:cs="Arial" w:eastAsia="Arial" w:hAnsi="Arial"/>
          <w:sz w:val="24"/>
          <w:szCs w:val="24"/>
        </w:rPr>
        <w:t xml:space="preserve">3) </w:t>
      </w:r>
      <w:r>
        <w:rPr>
          <w:rFonts w:ascii="Arial" w:cs="Arial" w:eastAsia="Arial" w:hAnsi="Arial"/>
          <w:b/>
          <w:bCs/>
          <w:sz w:val="24"/>
          <w:szCs w:val="24"/>
        </w:rPr>
        <w:t xml:space="preserve">уполномоченный государственный орган по экономическому прогнозированию</w:t>
      </w:r>
      <w:r>
        <w:rPr>
          <w:rFonts w:ascii="Arial" w:cs="Arial" w:eastAsia="Arial" w:hAnsi="Arial"/>
          <w:sz w:val="24"/>
          <w:szCs w:val="24"/>
        </w:rPr>
        <w:t xml:space="preserve"> - центральный орган исполнительной власти, уполномоченный Кабинетом Министров для разработки и реализации единой государственной политики в области экономического развития и налоговой сфере;</w:t>
      </w:r>
    </w:p>
    <w:p>
      <w:pPr>
        <w:spacing w:after="120"/>
        <w:ind w:firstLine="567"/>
        <w:jc w:val="both"/>
      </w:pPr>
      <w:r>
        <w:rPr>
          <w:rFonts w:ascii="Arial" w:cs="Arial" w:eastAsia="Arial" w:hAnsi="Arial"/>
          <w:sz w:val="24"/>
          <w:szCs w:val="24"/>
        </w:rPr>
        <w:t xml:space="preserve">4) </w:t>
      </w:r>
      <w:r>
        <w:rPr>
          <w:rFonts w:ascii="Arial" w:cs="Arial" w:eastAsia="Arial" w:hAnsi="Arial"/>
          <w:b/>
          <w:bCs/>
          <w:sz w:val="24"/>
          <w:szCs w:val="24"/>
        </w:rPr>
        <w:t xml:space="preserve">поручительство</w:t>
      </w:r>
      <w:r>
        <w:rPr>
          <w:rFonts w:ascii="Arial" w:cs="Arial" w:eastAsia="Arial" w:hAnsi="Arial"/>
          <w:sz w:val="24"/>
          <w:szCs w:val="24"/>
        </w:rPr>
        <w:t xml:space="preserve"> - механизм обеспечения исполнения обязательств субъекта перед финансово-кредитными, международными и иностранными организациями, предоставляемый со стороны лица, уполномоченного Кабинетом Министров на предоставление поручительства;</w:t>
      </w:r>
    </w:p>
    <w:p>
      <w:pPr>
        <w:spacing w:after="120"/>
        <w:ind w:firstLine="567"/>
        <w:jc w:val="both"/>
      </w:pPr>
      <w:r>
        <w:rPr>
          <w:rFonts w:ascii="Arial" w:cs="Arial" w:eastAsia="Arial" w:hAnsi="Arial"/>
          <w:sz w:val="24"/>
          <w:szCs w:val="24"/>
        </w:rPr>
        <w:t xml:space="preserve">5) </w:t>
      </w:r>
      <w:r>
        <w:rPr>
          <w:rFonts w:ascii="Arial" w:cs="Arial" w:eastAsia="Arial" w:hAnsi="Arial"/>
          <w:b/>
          <w:bCs/>
          <w:sz w:val="24"/>
          <w:szCs w:val="24"/>
        </w:rPr>
        <w:t xml:space="preserve">продовольственная безопасность</w:t>
      </w:r>
      <w:r>
        <w:rPr>
          <w:rFonts w:ascii="Arial" w:cs="Arial" w:eastAsia="Arial" w:hAnsi="Arial"/>
          <w:sz w:val="24"/>
          <w:szCs w:val="24"/>
        </w:rPr>
        <w:t xml:space="preserve"> - состояние экономики Кыргызской Республики, при котором обеспечивается продовольственная независимость республики и гарантируется физическая и экономическая доступность продовольствия для населения в соответствии с установленными минимальными нормами потребления продуктов питания;</w:t>
      </w:r>
    </w:p>
    <w:p>
      <w:pPr>
        <w:spacing w:after="120"/>
        <w:ind w:firstLine="567"/>
        <w:jc w:val="both"/>
      </w:pPr>
      <w:r>
        <w:rPr>
          <w:rFonts w:ascii="Arial" w:cs="Arial" w:eastAsia="Arial" w:hAnsi="Arial"/>
          <w:sz w:val="24"/>
          <w:szCs w:val="24"/>
        </w:rPr>
        <w:t xml:space="preserve">6) </w:t>
      </w:r>
      <w:r>
        <w:rPr>
          <w:rFonts w:ascii="Arial" w:cs="Arial" w:eastAsia="Arial" w:hAnsi="Arial"/>
          <w:b/>
          <w:bCs/>
          <w:sz w:val="24"/>
          <w:szCs w:val="24"/>
        </w:rPr>
        <w:t xml:space="preserve">экономическая безопасность</w:t>
      </w:r>
      <w:r>
        <w:rPr>
          <w:rFonts w:ascii="Arial" w:cs="Arial" w:eastAsia="Arial" w:hAnsi="Arial"/>
          <w:sz w:val="24"/>
          <w:szCs w:val="24"/>
        </w:rPr>
        <w:t xml:space="preserve"> - это состояние защищенности национальной экономики от внешних и внутренних угроз, долгосрочное состояние устойчивости экономической системы, а также способность к экономическому развитию, которое обеспечивает возможность удовлетворения и расширения потребностей субъектов экономической деятельности, способность поддержать достойный уровень жизни;</w:t>
      </w:r>
    </w:p>
    <w:p>
      <w:pPr>
        <w:spacing w:after="120"/>
        <w:ind w:firstLine="567"/>
        <w:jc w:val="both"/>
      </w:pPr>
      <w:r>
        <w:rPr>
          <w:rFonts w:ascii="Arial" w:cs="Arial" w:eastAsia="Arial" w:hAnsi="Arial"/>
          <w:sz w:val="24"/>
          <w:szCs w:val="24"/>
        </w:rPr>
        <w:t xml:space="preserve">7) </w:t>
      </w:r>
      <w:r>
        <w:rPr>
          <w:rFonts w:ascii="Arial" w:cs="Arial" w:eastAsia="Arial" w:hAnsi="Arial"/>
          <w:b/>
          <w:bCs/>
          <w:sz w:val="24"/>
          <w:szCs w:val="24"/>
        </w:rPr>
        <w:t xml:space="preserve">средства поручительства</w:t>
      </w:r>
      <w:r>
        <w:rPr>
          <w:rFonts w:ascii="Arial" w:cs="Arial" w:eastAsia="Arial" w:hAnsi="Arial"/>
          <w:sz w:val="24"/>
          <w:szCs w:val="24"/>
        </w:rPr>
        <w:t xml:space="preserve"> - совокупность денежных средств, сформированных за счет средств республиканского бюджета, направленных на увеличение уставного капитала поручителя для исполнения обязательств по поручительству.</w:t>
      </w:r>
    </w:p>
    <w:p>
      <w:pPr>
        <w:spacing w:after="120"/>
        <w:ind w:firstLine="567"/>
        <w:jc w:val="both"/>
      </w:pPr>
      <w:r>
        <w:rPr>
          <w:rFonts w:ascii="Arial" w:cs="Arial" w:eastAsia="Arial" w:hAnsi="Arial"/>
          <w:sz w:val="24"/>
          <w:szCs w:val="24"/>
        </w:rPr>
        <w:t xml:space="preserve">Средства поручительства могут быть использованы для обеспечения текущей деятельности поручителя, включая административные, организационные и иные операционные расходы, с обязательным последующим восполнением израсходованных средств;</w:t>
      </w:r>
    </w:p>
    <w:p>
      <w:pPr>
        <w:spacing w:after="120"/>
        <w:ind w:firstLine="567"/>
        <w:jc w:val="both"/>
      </w:pPr>
      <w:r>
        <w:rPr>
          <w:rFonts w:ascii="Arial" w:cs="Arial" w:eastAsia="Arial" w:hAnsi="Arial"/>
          <w:sz w:val="24"/>
          <w:szCs w:val="24"/>
        </w:rPr>
        <w:t xml:space="preserve">8) </w:t>
      </w:r>
      <w:r>
        <w:rPr>
          <w:rFonts w:ascii="Arial" w:cs="Arial" w:eastAsia="Arial" w:hAnsi="Arial"/>
          <w:b/>
          <w:bCs/>
          <w:sz w:val="24"/>
          <w:szCs w:val="24"/>
        </w:rPr>
        <w:t xml:space="preserve">поручитель</w:t>
      </w:r>
      <w:r>
        <w:rPr>
          <w:rFonts w:ascii="Arial" w:cs="Arial" w:eastAsia="Arial" w:hAnsi="Arial"/>
          <w:sz w:val="24"/>
          <w:szCs w:val="24"/>
        </w:rPr>
        <w:t xml:space="preserve"> - лицо, уполномоченное Кабинетом Министров на предоставление поручительства;</w:t>
      </w:r>
    </w:p>
    <w:p>
      <w:pPr>
        <w:spacing w:after="120"/>
        <w:ind w:firstLine="567"/>
        <w:jc w:val="both"/>
      </w:pPr>
      <w:r>
        <w:rPr>
          <w:rFonts w:ascii="Arial" w:cs="Arial" w:eastAsia="Arial" w:hAnsi="Arial"/>
          <w:sz w:val="24"/>
          <w:szCs w:val="24"/>
        </w:rPr>
        <w:t xml:space="preserve">9) </w:t>
      </w:r>
      <w:r>
        <w:rPr>
          <w:rFonts w:ascii="Arial" w:cs="Arial" w:eastAsia="Arial" w:hAnsi="Arial"/>
          <w:b/>
          <w:bCs/>
          <w:sz w:val="24"/>
          <w:szCs w:val="24"/>
        </w:rPr>
        <w:t xml:space="preserve">кредитор</w:t>
      </w:r>
      <w:r>
        <w:rPr>
          <w:rFonts w:ascii="Arial" w:cs="Arial" w:eastAsia="Arial" w:hAnsi="Arial"/>
          <w:sz w:val="24"/>
          <w:szCs w:val="24"/>
        </w:rPr>
        <w:t xml:space="preserve"> - организация, которая предоставляет кредит, лизинг субъекту и имеет право требовать возврата предоставленных денег или имущества в оговоренные сроки;</w:t>
      </w:r>
    </w:p>
    <w:p>
      <w:pPr>
        <w:spacing w:after="120"/>
        <w:ind w:firstLine="567"/>
        <w:jc w:val="both"/>
      </w:pPr>
      <w:r>
        <w:rPr>
          <w:rFonts w:ascii="Arial" w:cs="Arial" w:eastAsia="Arial" w:hAnsi="Arial"/>
          <w:sz w:val="24"/>
          <w:szCs w:val="24"/>
        </w:rPr>
        <w:t xml:space="preserve">10) </w:t>
      </w:r>
      <w:r>
        <w:rPr>
          <w:rFonts w:ascii="Arial" w:cs="Arial" w:eastAsia="Arial" w:hAnsi="Arial"/>
          <w:b/>
          <w:bCs/>
          <w:sz w:val="24"/>
          <w:szCs w:val="24"/>
        </w:rPr>
        <w:t xml:space="preserve">субъект национальной экономики</w:t>
      </w:r>
      <w:r>
        <w:rPr>
          <w:rFonts w:ascii="Arial" w:cs="Arial" w:eastAsia="Arial" w:hAnsi="Arial"/>
          <w:sz w:val="24"/>
          <w:szCs w:val="24"/>
        </w:rPr>
        <w:t xml:space="preserve"> - юридическое лицо, зарегистрированное в установленном законодательством порядке на территории Кыргызской Республики и осуществляющее производственную, коммерческую, финансовую либо иную хозяйственную деятельность на территории Кыргызской Республики, соответствующее критериям, установленным настоящим Порядком.</w:t>
      </w:r>
    </w:p>
    <w:p>
      <w:pPr>
        <w:spacing w:after="120"/>
        <w:ind w:firstLine="567"/>
        <w:jc w:val="both"/>
      </w:pPr>
      <w:r>
        <w:rPr>
          <w:rFonts w:ascii="Arial" w:cs="Arial" w:eastAsia="Arial" w:hAnsi="Arial"/>
          <w:sz w:val="24"/>
          <w:szCs w:val="24"/>
        </w:rPr>
        <w:t xml:space="preserve">11) </w:t>
      </w:r>
      <w:r>
        <w:rPr>
          <w:rFonts w:ascii="Arial" w:cs="Arial" w:eastAsia="Arial" w:hAnsi="Arial"/>
          <w:b/>
          <w:bCs/>
          <w:sz w:val="24"/>
          <w:szCs w:val="24"/>
        </w:rPr>
        <w:t xml:space="preserve">отраслевой государственный орган</w:t>
      </w:r>
      <w:r>
        <w:rPr>
          <w:rFonts w:ascii="Arial" w:cs="Arial" w:eastAsia="Arial" w:hAnsi="Arial"/>
          <w:sz w:val="24"/>
          <w:szCs w:val="24"/>
        </w:rPr>
        <w:t xml:space="preserve"> - государственный орган исполнительной власти, уполномоченный осуществлять государственную политику в соответствующей отрасли экономики.</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d4dl88rtgzm9iggethsmm">
        <w:r>
          <w:rPr>
            <w:rFonts w:ascii="Arial" w:cs="Arial" w:eastAsia="Arial" w:hAnsi="Arial"/>
            <w:i/>
            <w:iCs/>
            <w:color w:val="1D4ED8"/>
            <w:sz w:val="24"/>
            <w:szCs w:val="24"/>
            <w:u w:val="single"/>
          </w:rPr>
          <w:t xml:space="preserve">26 мая 2026 года № 371</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12) основной договор – кредитный договор, договор финансовой аренды (лизинга), договор о выдаче банковской гарантии, договор (соглашение) подряда;</w:t>
      </w:r>
    </w:p>
    <w:p>
      <w:pPr>
        <w:spacing w:after="120"/>
        <w:ind w:firstLine="567"/>
        <w:jc w:val="both"/>
      </w:pPr>
      <w:r>
        <w:rPr>
          <w:rFonts w:ascii="Arial" w:cs="Arial" w:eastAsia="Arial" w:hAnsi="Arial"/>
          <w:sz w:val="24"/>
          <w:szCs w:val="24"/>
        </w:rPr>
        <w:t xml:space="preserve">13) контрагент – лицо, являющееся стороной основного договора, в пользу которого обеспечивается исполнение обязательств субъекта по договору (соглашению) подряда. Под контрагентом понимается подрядчик, перед которым обеспечивается исполнение обязательств субъекта-заказчика.</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gpvlnunzzqydqdbjtvtts">
        <w:r>
          <w:rPr>
            <w:rFonts w:ascii="Arial" w:cs="Arial" w:eastAsia="Arial" w:hAnsi="Arial"/>
            <w:i/>
            <w:iCs/>
            <w:color w:val="1D4ED8"/>
            <w:sz w:val="24"/>
            <w:szCs w:val="24"/>
            <w:u w:val="single"/>
          </w:rPr>
          <w:t xml:space="preserve">10 июля 2026 года № 480</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6</w:t>
      </w:r>
      <w:r>
        <w:rPr>
          <w:rFonts w:ascii="Arial" w:cs="Arial" w:eastAsia="Arial" w:hAnsi="Arial"/>
          <w:sz w:val="20"/>
          <w:szCs w:val="20"/>
        </w:rPr>
        <w:t xml:space="preserve">1</w:t>
      </w:r>
      <w:r>
        <w:rPr>
          <w:rFonts w:ascii="Arial" w:cs="Arial" w:eastAsia="Arial" w:hAnsi="Arial"/>
          <w:sz w:val="24"/>
          <w:szCs w:val="24"/>
        </w:rPr>
        <w:t xml:space="preserve">. Уполномоченный государственный орган по прогнозированию и исполнению бюджета ежегодно осуществляет мониторинг ликвидности средств поручителя по принятым обязательствам и предусматривает средства в республиканском бюджете в установленном порядке.</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mxy3sv3bxpo5nvu6qqkdo">
        <w:r>
          <w:rPr>
            <w:rFonts w:ascii="Arial" w:cs="Arial" w:eastAsia="Arial" w:hAnsi="Arial"/>
            <w:i/>
            <w:iCs/>
            <w:color w:val="1D4ED8"/>
            <w:sz w:val="24"/>
            <w:szCs w:val="24"/>
            <w:u w:val="single"/>
          </w:rPr>
          <w:t xml:space="preserve">26 мая 2026 года № 371</w:t>
        </w:r>
      </w:hyperlink>
      <w:r>
        <w:rPr>
          <w:rFonts w:ascii="Arial" w:cs="Arial" w:eastAsia="Arial" w:hAnsi="Arial"/>
          <w:i/>
          <w:iCs/>
          <w:sz w:val="24"/>
          <w:szCs w:val="24"/>
        </w:rPr>
        <w:t xml:space="preserve">)</w:t>
      </w:r>
    </w:p>
    <w:p>
      <w:pPr>
        <w:spacing w:after="240" w:before="200"/>
        <w:jc w:val="center"/>
      </w:pPr>
      <w:r>
        <w:rPr>
          <w:rFonts w:ascii="Arial" w:cs="Arial" w:eastAsia="Arial" w:hAnsi="Arial"/>
          <w:b/>
          <w:bCs/>
          <w:sz w:val="32"/>
          <w:szCs w:val="32"/>
        </w:rPr>
        <w:t xml:space="preserve">Глава 2. Решение о предоставлении поручительства</w:t>
      </w:r>
    </w:p>
    <w:p>
      <w:pPr>
        <w:spacing w:after="120"/>
        <w:ind w:firstLine="567"/>
        <w:jc w:val="both"/>
      </w:pPr>
      <w:r>
        <w:rPr>
          <w:rFonts w:ascii="Arial" w:cs="Arial" w:eastAsia="Arial" w:hAnsi="Arial"/>
          <w:sz w:val="24"/>
          <w:szCs w:val="24"/>
        </w:rPr>
        <w:t xml:space="preserve">7. Решение о предоставлении поручительства субъектам принимается Кабинетом Министров по согласованию с профильным комитетом Жогорку Кенеша Кыргызской Республики.</w:t>
      </w:r>
    </w:p>
    <w:p>
      <w:pPr>
        <w:spacing w:after="120"/>
        <w:ind w:firstLine="567"/>
        <w:jc w:val="both"/>
      </w:pPr>
      <w:r>
        <w:rPr>
          <w:rFonts w:ascii="Arial" w:cs="Arial" w:eastAsia="Arial" w:hAnsi="Arial"/>
          <w:sz w:val="24"/>
          <w:szCs w:val="24"/>
        </w:rPr>
        <w:t xml:space="preserve">8. Инициатором проекта решения Кабинета Министров о предоставлении поручительства выступает уполномоченный государственный орган по экономическому прогнозированию.</w:t>
      </w:r>
    </w:p>
    <w:p>
      <w:pPr>
        <w:spacing w:after="60"/>
        <w:ind w:firstLine="567"/>
        <w:jc w:val="both"/>
      </w:pPr>
      <w:r>
        <w:rPr>
          <w:rFonts w:ascii="Arial" w:cs="Arial" w:eastAsia="Arial" w:hAnsi="Arial"/>
          <w:sz w:val="24"/>
          <w:szCs w:val="24"/>
        </w:rPr>
        <w:t xml:space="preserve">9. Для инициирования принятия решения Кабинетом Министров о предоставлении поручительства субъекту в уполномоченный государственный орган по экономическому прогнозированию представляются следующие документы:</w:t>
      </w:r>
    </w:p>
    <w:p>
      <w:pPr>
        <w:spacing w:after="60"/>
        <w:ind w:firstLine="567"/>
        <w:jc w:val="both"/>
      </w:pPr>
      <w:r>
        <w:rPr>
          <w:rFonts w:ascii="Arial" w:cs="Arial" w:eastAsia="Arial" w:hAnsi="Arial"/>
          <w:sz w:val="24"/>
          <w:szCs w:val="24"/>
        </w:rPr>
        <w:t xml:space="preserve">1) заявление о предоставлении поручительства;</w:t>
      </w:r>
    </w:p>
    <w:p>
      <w:pPr>
        <w:spacing w:after="60"/>
        <w:ind w:firstLine="567"/>
        <w:jc w:val="both"/>
      </w:pPr>
      <w:r>
        <w:rPr>
          <w:rFonts w:ascii="Arial" w:cs="Arial" w:eastAsia="Arial" w:hAnsi="Arial"/>
          <w:sz w:val="24"/>
          <w:szCs w:val="24"/>
        </w:rPr>
        <w:t xml:space="preserve">2) копии регистрационных и учредительных документов (устав, свидетельство о регистрации, патент, учредительный договор), заверенные печатью;</w:t>
      </w:r>
    </w:p>
    <w:p>
      <w:pPr>
        <w:spacing w:after="60"/>
        <w:ind w:firstLine="567"/>
        <w:jc w:val="both"/>
      </w:pPr>
      <w:r>
        <w:rPr>
          <w:rFonts w:ascii="Arial" w:cs="Arial" w:eastAsia="Arial" w:hAnsi="Arial"/>
          <w:sz w:val="24"/>
          <w:szCs w:val="24"/>
        </w:rPr>
        <w:t xml:space="preserve">3) копии паспорта руководителя и решения о назначении на должность;</w:t>
      </w:r>
    </w:p>
    <w:p>
      <w:pPr>
        <w:spacing w:after="60"/>
        <w:ind w:firstLine="567"/>
        <w:jc w:val="both"/>
      </w:pPr>
      <w:r>
        <w:rPr>
          <w:rFonts w:ascii="Arial" w:cs="Arial" w:eastAsia="Arial" w:hAnsi="Arial"/>
          <w:sz w:val="24"/>
          <w:szCs w:val="24"/>
        </w:rPr>
        <w:t xml:space="preserve">4) финансовая отчетность за последние три года, а в случае если субъект осуществляет деятельность менее трех лет, - финансовая отчетность за весь период деятельности;</w:t>
      </w:r>
    </w:p>
    <w:p>
      <w:pPr>
        <w:spacing w:after="60"/>
        <w:ind w:firstLine="567"/>
        <w:jc w:val="both"/>
      </w:pPr>
      <w:r>
        <w:rPr>
          <w:rFonts w:ascii="Arial" w:cs="Arial" w:eastAsia="Arial" w:hAnsi="Arial"/>
          <w:sz w:val="24"/>
          <w:szCs w:val="24"/>
        </w:rPr>
        <w:t xml:space="preserve">5) проект кредитного договора и/или решение кредитного комитета, отражающие условия предоставления кредита, проект договора финансовой аренды (лизинга), проект договора о выдаче банковской гарантии, проект договора (соглашения) подряда;</w:t>
      </w:r>
    </w:p>
    <w:p>
      <w:pPr>
        <w:spacing w:after="60"/>
        <w:ind w:firstLine="567"/>
        <w:jc w:val="both"/>
      </w:pPr>
      <w:r>
        <w:rPr>
          <w:rFonts w:ascii="Arial" w:cs="Arial" w:eastAsia="Arial" w:hAnsi="Arial"/>
          <w:sz w:val="24"/>
          <w:szCs w:val="24"/>
        </w:rPr>
        <w:t xml:space="preserve">6) документы, подтверждающие обеспечение исполнения обязательств по договору поручительства, включая один или несколько из следующих документов:</w:t>
      </w:r>
    </w:p>
    <w:p>
      <w:pPr>
        <w:spacing w:after="60"/>
        <w:ind w:firstLine="567"/>
        <w:jc w:val="both"/>
      </w:pPr>
      <w:r>
        <w:rPr>
          <w:rFonts w:ascii="Arial" w:cs="Arial" w:eastAsia="Arial" w:hAnsi="Arial"/>
          <w:sz w:val="24"/>
          <w:szCs w:val="24"/>
        </w:rPr>
        <w:t xml:space="preserve">- копии документов, подтверждающих право собственности или право пользования имуществом, предоставляемым в залог;</w:t>
      </w:r>
    </w:p>
    <w:p>
      <w:pPr>
        <w:spacing w:after="60"/>
        <w:ind w:firstLine="567"/>
        <w:jc w:val="both"/>
      </w:pPr>
      <w:r>
        <w:rPr>
          <w:rFonts w:ascii="Arial" w:cs="Arial" w:eastAsia="Arial" w:hAnsi="Arial"/>
          <w:sz w:val="24"/>
          <w:szCs w:val="24"/>
        </w:rPr>
        <w:t xml:space="preserve">- копии регистрационных и учредительных документов дополнительного поручителя - юридического лица (устав, свидетельство о регистрации/перерегистрации, учредительный договор), заверенные печатью, а также решения органа управления юридического лица, определенного учредительными документами, о согласии выступить дополнительным поручителем по обязательствам субъекта по договору поручительства;</w:t>
      </w:r>
    </w:p>
    <w:p>
      <w:pPr>
        <w:spacing w:after="60"/>
        <w:ind w:firstLine="567"/>
        <w:jc w:val="both"/>
      </w:pPr>
      <w:r>
        <w:rPr>
          <w:rFonts w:ascii="Arial" w:cs="Arial" w:eastAsia="Arial" w:hAnsi="Arial"/>
          <w:sz w:val="24"/>
          <w:szCs w:val="24"/>
        </w:rPr>
        <w:t xml:space="preserve">- копия паспорта дополнительного поручителя - физического лица;</w:t>
      </w:r>
    </w:p>
    <w:p>
      <w:pPr>
        <w:spacing w:after="60"/>
        <w:ind w:firstLine="567"/>
        <w:jc w:val="both"/>
      </w:pPr>
      <w:r>
        <w:rPr>
          <w:rFonts w:ascii="Arial" w:cs="Arial" w:eastAsia="Arial" w:hAnsi="Arial"/>
          <w:sz w:val="24"/>
          <w:szCs w:val="24"/>
        </w:rPr>
        <w:t xml:space="preserve">- проект банковской гарантии и (или) решение кредитного комитета, отражающие условия предоставления банковской гарантии в качестве обеспечения обязательств субъекта по договору поручительства;</w:t>
      </w:r>
    </w:p>
    <w:p>
      <w:pPr>
        <w:spacing w:after="60"/>
        <w:ind w:firstLine="567"/>
        <w:jc w:val="both"/>
      </w:pPr>
      <w:r>
        <w:rPr>
          <w:rFonts w:ascii="Arial" w:cs="Arial" w:eastAsia="Arial" w:hAnsi="Arial"/>
          <w:sz w:val="24"/>
          <w:szCs w:val="24"/>
        </w:rPr>
        <w:t xml:space="preserve">- решение (согласие) органа управления субъекта, определенного учредительными документами, о предоставлении поручителю права на безакцептное (бесспорное) списание денежных средств;</w:t>
      </w:r>
    </w:p>
    <w:p>
      <w:pPr>
        <w:spacing w:after="60"/>
        <w:ind w:firstLine="567"/>
        <w:jc w:val="both"/>
      </w:pPr>
      <w:r>
        <w:rPr>
          <w:rFonts w:ascii="Arial" w:cs="Arial" w:eastAsia="Arial" w:hAnsi="Arial"/>
          <w:sz w:val="24"/>
          <w:szCs w:val="24"/>
        </w:rPr>
        <w:t xml:space="preserve">- копии документов на иное обеспечение, предусмотренное законодательством Кыргызской Республики;</w:t>
      </w:r>
    </w:p>
    <w:p>
      <w:pPr>
        <w:spacing w:after="60"/>
        <w:ind w:firstLine="567"/>
        <w:jc w:val="both"/>
      </w:pPr>
      <w:r>
        <w:rPr>
          <w:rFonts w:ascii="Arial" w:cs="Arial" w:eastAsia="Arial" w:hAnsi="Arial"/>
          <w:sz w:val="24"/>
          <w:szCs w:val="24"/>
        </w:rPr>
        <w:t xml:space="preserve">7) решение (согласие) органа управления субъекта, определенного учредительными документами, на заключение договора поручительства, договора залога (в случае предоставления залога в обеспечение исполнения обязательств по договору поручительства), а также договора о безакцептном (бесспорном) списании денежных средств с указанием лица, уполномоченного на подписание указанных договоров;</w:t>
      </w:r>
    </w:p>
    <w:p>
      <w:pPr>
        <w:spacing w:after="60"/>
        <w:ind w:firstLine="567"/>
        <w:jc w:val="both"/>
      </w:pPr>
      <w:r>
        <w:rPr>
          <w:rFonts w:ascii="Arial" w:cs="Arial" w:eastAsia="Arial" w:hAnsi="Arial"/>
          <w:sz w:val="24"/>
          <w:szCs w:val="24"/>
        </w:rPr>
        <w:t xml:space="preserve">8) копия паспорта лица, уполномоченного на подписание договора поручительства, договора залога (в случае предоставления залога в обеспечение исполнения обязательств по договору поручительства), а также договора о безакцептном (бесспорном) списании денежных средств;</w:t>
      </w:r>
    </w:p>
    <w:p>
      <w:pPr>
        <w:spacing w:after="60"/>
        <w:ind w:firstLine="567"/>
        <w:jc w:val="both"/>
      </w:pPr>
      <w:r>
        <w:rPr>
          <w:rFonts w:ascii="Arial" w:cs="Arial" w:eastAsia="Arial" w:hAnsi="Arial"/>
          <w:sz w:val="24"/>
          <w:szCs w:val="24"/>
        </w:rPr>
        <w:t xml:space="preserve">9) информация и (или) справка об отсутствии задолженности по налогам и страховым взносам;</w:t>
      </w:r>
    </w:p>
    <w:p>
      <w:pPr>
        <w:spacing w:after="60"/>
        <w:ind w:firstLine="567"/>
        <w:jc w:val="both"/>
      </w:pPr>
      <w:r>
        <w:rPr>
          <w:rFonts w:ascii="Arial" w:cs="Arial" w:eastAsia="Arial" w:hAnsi="Arial"/>
          <w:sz w:val="24"/>
          <w:szCs w:val="24"/>
        </w:rPr>
        <w:t xml:space="preserve">10) бизнес-план.</w:t>
      </w:r>
    </w:p>
    <w:p>
      <w:pPr>
        <w:spacing w:after="60"/>
        <w:ind w:firstLine="567"/>
        <w:jc w:val="both"/>
      </w:pPr>
      <w:r>
        <w:rPr>
          <w:rFonts w:ascii="Arial" w:cs="Arial" w:eastAsia="Arial" w:hAnsi="Arial"/>
          <w:sz w:val="24"/>
          <w:szCs w:val="24"/>
        </w:rPr>
        <w:t xml:space="preserve">Отдельные части подпунктов 2, 3 и 9 настоящего пункта не применяются в случае, если документы получены через систему межведомственного электронного взаимодействия "Тундук".</w:t>
      </w:r>
    </w:p>
    <w:p>
      <w:pPr>
        <w:spacing w:after="120"/>
        <w:ind w:firstLine="567"/>
        <w:jc w:val="both"/>
      </w:pPr>
      <w:r>
        <w:rPr>
          <w:rFonts w:ascii="Arial" w:cs="Arial" w:eastAsia="Arial" w:hAnsi="Arial"/>
          <w:i/>
          <w:iCs/>
          <w:sz w:val="24"/>
          <w:szCs w:val="24"/>
        </w:rPr>
        <w:t xml:space="preserve">(В редакции постановлений Кабинета Министров КР от </w:t>
      </w:r>
      <w:hyperlink w:history="1" r:id="rIdfwlkp490x-ghrpmaaaubq">
        <w:r>
          <w:rPr>
            <w:rFonts w:ascii="Arial" w:cs="Arial" w:eastAsia="Arial" w:hAnsi="Arial"/>
            <w:i/>
            <w:iCs/>
            <w:color w:val="1D4ED8"/>
            <w:sz w:val="24"/>
            <w:szCs w:val="24"/>
            <w:u w:val="single"/>
          </w:rPr>
          <w:t xml:space="preserve">26 мая 2026 года № 371</w:t>
        </w:r>
      </w:hyperlink>
      <w:r>
        <w:rPr>
          <w:rFonts w:ascii="Arial" w:cs="Arial" w:eastAsia="Arial" w:hAnsi="Arial"/>
          <w:i/>
          <w:iCs/>
          <w:sz w:val="24"/>
          <w:szCs w:val="24"/>
        </w:rPr>
        <w:t xml:space="preserve">, </w:t>
      </w:r>
      <w:hyperlink w:history="1" r:id="rIdv36kzjmpt_5toduqzz6dm">
        <w:r>
          <w:rPr>
            <w:rFonts w:ascii="Arial" w:cs="Arial" w:eastAsia="Arial" w:hAnsi="Arial"/>
            <w:i/>
            <w:iCs/>
            <w:color w:val="1D4ED8"/>
            <w:sz w:val="24"/>
            <w:szCs w:val="24"/>
            <w:u w:val="single"/>
          </w:rPr>
          <w:t xml:space="preserve">10 июля 2026 года № 480</w:t>
        </w:r>
      </w:hyperlink>
      <w:r>
        <w:rPr>
          <w:rFonts w:ascii="Arial" w:cs="Arial" w:eastAsia="Arial" w:hAnsi="Arial"/>
          <w:i/>
          <w:iCs/>
          <w:sz w:val="24"/>
          <w:szCs w:val="24"/>
        </w:rPr>
        <w:t xml:space="preserve"> )</w:t>
      </w:r>
    </w:p>
    <w:p>
      <w:pPr>
        <w:spacing w:after="60"/>
        <w:ind w:firstLine="567"/>
        <w:jc w:val="both"/>
      </w:pPr>
      <w:r>
        <w:rPr>
          <w:rFonts w:ascii="Arial" w:cs="Arial" w:eastAsia="Arial" w:hAnsi="Arial"/>
          <w:sz w:val="24"/>
          <w:szCs w:val="24"/>
        </w:rPr>
        <w:t xml:space="preserve">10. При рассмотрении заявлений на предоставление поручительства для реализации инфраструктурных и промышленных проектов дополнительно предоставляются один или несколько следующих документов:</w:t>
      </w:r>
    </w:p>
    <w:p>
      <w:pPr>
        <w:spacing w:after="60"/>
        <w:ind w:firstLine="567"/>
        <w:jc w:val="both"/>
      </w:pPr>
      <w:r>
        <w:rPr>
          <w:rFonts w:ascii="Arial" w:cs="Arial" w:eastAsia="Arial" w:hAnsi="Arial"/>
          <w:sz w:val="24"/>
          <w:szCs w:val="24"/>
        </w:rPr>
        <w:t xml:space="preserve">1) технико-экономическое обоснование с положительным заключением отраслевого уполномоченного органа;</w:t>
      </w:r>
    </w:p>
    <w:p>
      <w:pPr>
        <w:spacing w:after="60"/>
        <w:ind w:firstLine="567"/>
        <w:jc w:val="both"/>
      </w:pPr>
      <w:r>
        <w:rPr>
          <w:rFonts w:ascii="Arial" w:cs="Arial" w:eastAsia="Arial" w:hAnsi="Arial"/>
          <w:sz w:val="24"/>
          <w:szCs w:val="24"/>
        </w:rPr>
        <w:t xml:space="preserve">2) проектно-сметная документация с положительным заключением отраслевого уполномоченного органа;</w:t>
      </w:r>
    </w:p>
    <w:p>
      <w:pPr>
        <w:spacing w:after="60"/>
        <w:ind w:firstLine="567"/>
        <w:jc w:val="both"/>
      </w:pPr>
      <w:r>
        <w:rPr>
          <w:rFonts w:ascii="Arial" w:cs="Arial" w:eastAsia="Arial" w:hAnsi="Arial"/>
          <w:sz w:val="24"/>
          <w:szCs w:val="24"/>
        </w:rPr>
        <w:t xml:space="preserve">3) аналогичные прайс-листы на приобретаемое оборудование, сооружение и иные объекты;</w:t>
      </w:r>
    </w:p>
    <w:p>
      <w:pPr>
        <w:spacing w:after="60"/>
        <w:ind w:firstLine="567"/>
        <w:jc w:val="both"/>
      </w:pPr>
      <w:r>
        <w:rPr>
          <w:rFonts w:ascii="Arial" w:cs="Arial" w:eastAsia="Arial" w:hAnsi="Arial"/>
          <w:sz w:val="24"/>
          <w:szCs w:val="24"/>
        </w:rPr>
        <w:t xml:space="preserve">4) контракты, договоры и соглашения;</w:t>
      </w:r>
    </w:p>
    <w:p>
      <w:pPr>
        <w:spacing w:after="60"/>
        <w:ind w:firstLine="567"/>
        <w:jc w:val="both"/>
      </w:pPr>
      <w:r>
        <w:rPr>
          <w:rFonts w:ascii="Arial" w:cs="Arial" w:eastAsia="Arial" w:hAnsi="Arial"/>
          <w:sz w:val="24"/>
          <w:szCs w:val="24"/>
        </w:rPr>
        <w:t xml:space="preserve">5) учредительные документы и финансовая отчетность за последние три года организации и (или) аффилированных организаций с учредителями субъекта, претендующего на получение поручительства;</w:t>
      </w:r>
    </w:p>
    <w:p>
      <w:pPr>
        <w:spacing w:after="60"/>
        <w:ind w:firstLine="567"/>
        <w:jc w:val="both"/>
      </w:pPr>
      <w:r>
        <w:rPr>
          <w:rFonts w:ascii="Arial" w:cs="Arial" w:eastAsia="Arial" w:hAnsi="Arial"/>
          <w:sz w:val="24"/>
          <w:szCs w:val="24"/>
        </w:rPr>
        <w:t xml:space="preserve">6) информация и (или) справки коммерческих банков, обслуживающих счета субъекта, об оборотах по расчетным счетам за последние шесть месяцев;</w:t>
      </w:r>
    </w:p>
    <w:p>
      <w:pPr>
        <w:spacing w:after="60"/>
        <w:ind w:firstLine="567"/>
        <w:jc w:val="both"/>
      </w:pPr>
      <w:r>
        <w:rPr>
          <w:rFonts w:ascii="Arial" w:cs="Arial" w:eastAsia="Arial" w:hAnsi="Arial"/>
          <w:sz w:val="24"/>
          <w:szCs w:val="24"/>
        </w:rPr>
        <w:t xml:space="preserve">7) информация и (или) справка об отсутствии/наличии задолженности перед финансово-кредитными организациями, подтвержденная соответствующим кредитным бюро.</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xk1tn_8j93gbxgnyxo5ae">
        <w:r>
          <w:rPr>
            <w:rFonts w:ascii="Arial" w:cs="Arial" w:eastAsia="Arial" w:hAnsi="Arial"/>
            <w:i/>
            <w:iCs/>
            <w:color w:val="1D4ED8"/>
            <w:sz w:val="24"/>
            <w:szCs w:val="24"/>
            <w:u w:val="single"/>
          </w:rPr>
          <w:t xml:space="preserve">26 мая 2026 года № 371</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11. До инициирования проекта решения Кабинета Министров о предоставлении поручительства уполномоченному государственному органу по экономическому прогнозированию необходимо:</w:t>
      </w:r>
    </w:p>
    <w:p>
      <w:pPr>
        <w:spacing w:after="120"/>
        <w:ind w:firstLine="567"/>
        <w:jc w:val="both"/>
      </w:pPr>
      <w:r>
        <w:rPr>
          <w:rFonts w:ascii="Arial" w:cs="Arial" w:eastAsia="Arial" w:hAnsi="Arial"/>
          <w:sz w:val="24"/>
          <w:szCs w:val="24"/>
        </w:rPr>
        <w:t xml:space="preserve">1) провести проверку полноты и/или правильности представленных документов;</w:t>
      </w:r>
    </w:p>
    <w:p>
      <w:pPr>
        <w:spacing w:after="120"/>
        <w:ind w:firstLine="567"/>
        <w:jc w:val="both"/>
      </w:pPr>
      <w:r>
        <w:rPr>
          <w:rFonts w:ascii="Arial" w:cs="Arial" w:eastAsia="Arial" w:hAnsi="Arial"/>
          <w:sz w:val="24"/>
          <w:szCs w:val="24"/>
        </w:rPr>
        <w:t xml:space="preserve">2) оценить стратегическое значение субъекта для экономической деятельности, национальной и продовольственной безопасности Кыргызской Республики;</w:t>
      </w:r>
    </w:p>
    <w:p>
      <w:pPr>
        <w:spacing w:after="120"/>
        <w:ind w:firstLine="567"/>
        <w:jc w:val="both"/>
      </w:pPr>
      <w:r>
        <w:rPr>
          <w:rFonts w:ascii="Arial" w:cs="Arial" w:eastAsia="Arial" w:hAnsi="Arial"/>
          <w:sz w:val="24"/>
          <w:szCs w:val="24"/>
        </w:rPr>
        <w:t xml:space="preserve">3) провести анализ эффективности проекта согласно бизнес-плану, ТЭО и другим документам.</w:t>
      </w:r>
    </w:p>
    <w:p>
      <w:pPr>
        <w:spacing w:after="120"/>
        <w:ind w:firstLine="567"/>
        <w:jc w:val="both"/>
      </w:pPr>
      <w:r>
        <w:rPr>
          <w:rFonts w:ascii="Arial" w:cs="Arial" w:eastAsia="Arial" w:hAnsi="Arial"/>
          <w:sz w:val="24"/>
          <w:szCs w:val="24"/>
        </w:rPr>
        <w:t xml:space="preserve">12. По итогам проведенного анализа и полученных от поручителя результатов рассмотрения полного пакета документов уполномоченный государственный орган по экономическому прогнозированию в установленном порядке принимает решение об отказе или инициировании проекта решения Кабинета Министров о предоставлении поручительства.</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vbxr6cl0ys5tgtqfsafrk">
        <w:r>
          <w:rPr>
            <w:rFonts w:ascii="Arial" w:cs="Arial" w:eastAsia="Arial" w:hAnsi="Arial"/>
            <w:i/>
            <w:iCs/>
            <w:color w:val="1D4ED8"/>
            <w:sz w:val="24"/>
            <w:szCs w:val="24"/>
            <w:u w:val="single"/>
          </w:rPr>
          <w:t xml:space="preserve">26 мая 2026 года № 371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12</w:t>
      </w:r>
      <w:r>
        <w:rPr>
          <w:rFonts w:ascii="Arial" w:cs="Arial" w:eastAsia="Arial" w:hAnsi="Arial"/>
          <w:sz w:val="20"/>
          <w:szCs w:val="20"/>
        </w:rPr>
        <w:t xml:space="preserve">1</w:t>
      </w:r>
      <w:r>
        <w:rPr>
          <w:rFonts w:ascii="Arial" w:cs="Arial" w:eastAsia="Arial" w:hAnsi="Arial"/>
          <w:sz w:val="24"/>
          <w:szCs w:val="24"/>
        </w:rPr>
        <w:t xml:space="preserve">. Поручитель в течение 7 рабочих дней со дня получения полного пакета документов, предусмотренного пунктами 9 и 10 настоящего Порядка, рассматривает представленные документы и сообщает о результатах уполномоченному государственному органу по экономическому прогнозированию.</w:t>
      </w:r>
    </w:p>
    <w:p>
      <w:pPr>
        <w:spacing w:after="60"/>
        <w:ind w:firstLine="567"/>
        <w:jc w:val="both"/>
      </w:pPr>
      <w:r>
        <w:rPr>
          <w:rFonts w:ascii="Arial" w:cs="Arial" w:eastAsia="Arial" w:hAnsi="Arial"/>
          <w:sz w:val="24"/>
          <w:szCs w:val="24"/>
        </w:rPr>
        <w:t xml:space="preserve">В случае выявления несоответствий в представленных документах или информации поручитель в установленном порядке в течение указанного срока направляет рекомендации по устранению выявленных недостатков.</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ir4twyyaovnnsdwaqztvb">
        <w:r>
          <w:rPr>
            <w:rFonts w:ascii="Arial" w:cs="Arial" w:eastAsia="Arial" w:hAnsi="Arial"/>
            <w:i/>
            <w:iCs/>
            <w:color w:val="1D4ED8"/>
            <w:sz w:val="24"/>
            <w:szCs w:val="24"/>
            <w:u w:val="single"/>
          </w:rPr>
          <w:t xml:space="preserve">26 мая 2026 года № 371</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13. Уполномоченный государственный орган по экономическому прогнозированию принимает решение об отказе в следующих случаях:</w:t>
      </w:r>
    </w:p>
    <w:p>
      <w:pPr>
        <w:spacing w:after="120"/>
        <w:ind w:firstLine="567"/>
        <w:jc w:val="both"/>
      </w:pPr>
      <w:r>
        <w:rPr>
          <w:rFonts w:ascii="Arial" w:cs="Arial" w:eastAsia="Arial" w:hAnsi="Arial"/>
          <w:sz w:val="24"/>
          <w:szCs w:val="24"/>
        </w:rPr>
        <w:t xml:space="preserve">1) субъекту ранее было предоставлено поручительство, по которому у него возникли нарушения финансовой дисциплины, что подтверждается извещением или уведомлением кредитора и/или контрагента о неисполнении или ненадлежащем исполнении обязательств субъектом;</w:t>
      </w:r>
    </w:p>
    <w:p>
      <w:pPr>
        <w:spacing w:after="120"/>
        <w:ind w:firstLine="567"/>
        <w:jc w:val="both"/>
      </w:pPr>
      <w:r>
        <w:rPr>
          <w:rFonts w:ascii="Arial" w:cs="Arial" w:eastAsia="Arial" w:hAnsi="Arial"/>
          <w:sz w:val="24"/>
          <w:szCs w:val="24"/>
        </w:rPr>
        <w:t xml:space="preserve">2) если предоставляемые субъекту кредитные средства были получены кредитором в виде бюджетного кредита;</w:t>
      </w:r>
    </w:p>
    <w:p>
      <w:pPr>
        <w:spacing w:after="120"/>
        <w:ind w:firstLine="567"/>
        <w:jc w:val="both"/>
      </w:pPr>
      <w:r>
        <w:rPr>
          <w:rFonts w:ascii="Arial" w:cs="Arial" w:eastAsia="Arial" w:hAnsi="Arial"/>
          <w:sz w:val="24"/>
          <w:szCs w:val="24"/>
        </w:rPr>
        <w:t xml:space="preserve">3) непредставление требуемых документов согласно пунктам 9 и 10 настоящего Порядка.</w:t>
      </w:r>
    </w:p>
    <w:p>
      <w:pPr>
        <w:spacing w:after="120"/>
        <w:ind w:firstLine="567"/>
        <w:jc w:val="both"/>
      </w:pPr>
      <w:r>
        <w:rPr>
          <w:rFonts w:ascii="Arial" w:cs="Arial" w:eastAsia="Arial" w:hAnsi="Arial"/>
          <w:sz w:val="24"/>
          <w:szCs w:val="24"/>
        </w:rPr>
        <w:t xml:space="preserve">4) если субъект отнесен кредитором и/или поручителем к категории высокого риска.</w:t>
      </w:r>
    </w:p>
    <w:p>
      <w:pPr>
        <w:spacing w:after="120"/>
        <w:ind w:firstLine="567"/>
        <w:jc w:val="both"/>
      </w:pPr>
      <w:r>
        <w:rPr>
          <w:rFonts w:ascii="Arial" w:cs="Arial" w:eastAsia="Arial" w:hAnsi="Arial"/>
          <w:i/>
          <w:iCs/>
          <w:sz w:val="24"/>
          <w:szCs w:val="24"/>
        </w:rPr>
        <w:t xml:space="preserve">(В редакции постановлений Кабинета Министров КР от </w:t>
      </w:r>
      <w:hyperlink w:history="1" r:id="rIdwzywia-osfwqac35do1ww">
        <w:r>
          <w:rPr>
            <w:rFonts w:ascii="Arial" w:cs="Arial" w:eastAsia="Arial" w:hAnsi="Arial"/>
            <w:i/>
            <w:iCs/>
            <w:color w:val="1D4ED8"/>
            <w:sz w:val="24"/>
            <w:szCs w:val="24"/>
            <w:u w:val="single"/>
          </w:rPr>
          <w:t xml:space="preserve">26 мая 2026 года № 371</w:t>
        </w:r>
      </w:hyperlink>
      <w:r>
        <w:rPr>
          <w:rFonts w:ascii="Arial" w:cs="Arial" w:eastAsia="Arial" w:hAnsi="Arial"/>
          <w:i/>
          <w:iCs/>
          <w:sz w:val="24"/>
          <w:szCs w:val="24"/>
        </w:rPr>
        <w:t xml:space="preserve">, </w:t>
      </w:r>
      <w:hyperlink w:history="1" r:id="rIdc7y1_ud5a97v8kb71stii">
        <w:r>
          <w:rPr>
            <w:rFonts w:ascii="Arial" w:cs="Arial" w:eastAsia="Arial" w:hAnsi="Arial"/>
            <w:i/>
            <w:iCs/>
            <w:color w:val="1D4ED8"/>
            <w:sz w:val="24"/>
            <w:szCs w:val="24"/>
            <w:u w:val="single"/>
          </w:rPr>
          <w:t xml:space="preserve">10 июля 2026 года № 480</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14. Проекты решений Кабинета Министров о предоставлении поручительства должны содержать:</w:t>
      </w:r>
    </w:p>
    <w:p>
      <w:pPr>
        <w:spacing w:after="120"/>
        <w:ind w:firstLine="567"/>
        <w:jc w:val="both"/>
      </w:pPr>
      <w:r>
        <w:rPr>
          <w:rFonts w:ascii="Arial" w:cs="Arial" w:eastAsia="Arial" w:hAnsi="Arial"/>
          <w:sz w:val="24"/>
          <w:szCs w:val="24"/>
        </w:rPr>
        <w:t xml:space="preserve">1) наименование субъекта, которому предоставляется поручительство;</w:t>
      </w:r>
    </w:p>
    <w:p>
      <w:pPr>
        <w:spacing w:after="120"/>
        <w:ind w:firstLine="567"/>
        <w:jc w:val="both"/>
      </w:pPr>
      <w:r>
        <w:rPr>
          <w:rFonts w:ascii="Arial" w:cs="Arial" w:eastAsia="Arial" w:hAnsi="Arial"/>
          <w:sz w:val="24"/>
          <w:szCs w:val="24"/>
        </w:rPr>
        <w:t xml:space="preserve">2) описание и цель обязательства (кредитный договор, договор финансовой аренды (лизинга), банковская гарантия или договор (соглашение) подряда);</w:t>
      </w:r>
    </w:p>
    <w:p>
      <w:pPr>
        <w:spacing w:after="120"/>
        <w:ind w:firstLine="567"/>
        <w:jc w:val="both"/>
      </w:pPr>
      <w:r>
        <w:rPr>
          <w:rFonts w:ascii="Arial" w:cs="Arial" w:eastAsia="Arial" w:hAnsi="Arial"/>
          <w:sz w:val="24"/>
          <w:szCs w:val="24"/>
        </w:rPr>
        <w:t xml:space="preserve">3) сумму и валюту поручительства;</w:t>
      </w:r>
    </w:p>
    <w:p>
      <w:pPr>
        <w:spacing w:after="120"/>
        <w:ind w:firstLine="567"/>
        <w:jc w:val="both"/>
      </w:pPr>
      <w:r>
        <w:rPr>
          <w:rFonts w:ascii="Arial" w:cs="Arial" w:eastAsia="Arial" w:hAnsi="Arial"/>
          <w:sz w:val="24"/>
          <w:szCs w:val="24"/>
        </w:rPr>
        <w:t xml:space="preserve">4) право безакцептного списания сумм задолженности и иные способы обеспечения исполнения обязательств по договору поручительства.</w:t>
      </w:r>
    </w:p>
    <w:p>
      <w:pPr>
        <w:spacing w:after="120"/>
        <w:ind w:firstLine="567"/>
        <w:jc w:val="both"/>
      </w:pPr>
      <w:r>
        <w:rPr>
          <w:rFonts w:ascii="Arial" w:cs="Arial" w:eastAsia="Arial" w:hAnsi="Arial"/>
          <w:i/>
          <w:iCs/>
          <w:sz w:val="24"/>
          <w:szCs w:val="24"/>
        </w:rPr>
        <w:t xml:space="preserve">(В редакции постановлений Кабинета Министров КР от </w:t>
      </w:r>
      <w:hyperlink w:history="1" r:id="rIdxddwkfnfrgx8xrps1bgwl">
        <w:r>
          <w:rPr>
            <w:rFonts w:ascii="Arial" w:cs="Arial" w:eastAsia="Arial" w:hAnsi="Arial"/>
            <w:i/>
            <w:iCs/>
            <w:color w:val="1D4ED8"/>
            <w:sz w:val="24"/>
            <w:szCs w:val="24"/>
            <w:u w:val="single"/>
          </w:rPr>
          <w:t xml:space="preserve">26 мая 2026 года № 371</w:t>
        </w:r>
      </w:hyperlink>
      <w:r>
        <w:rPr>
          <w:rFonts w:ascii="Arial" w:cs="Arial" w:eastAsia="Arial" w:hAnsi="Arial"/>
          <w:i/>
          <w:iCs/>
          <w:sz w:val="24"/>
          <w:szCs w:val="24"/>
        </w:rPr>
        <w:t xml:space="preserve">, </w:t>
      </w:r>
      <w:hyperlink w:history="1" r:id="rId3kgwhhbajn61c1tgc1edy">
        <w:r>
          <w:rPr>
            <w:rFonts w:ascii="Arial" w:cs="Arial" w:eastAsia="Arial" w:hAnsi="Arial"/>
            <w:i/>
            <w:iCs/>
            <w:color w:val="1D4ED8"/>
            <w:sz w:val="24"/>
            <w:szCs w:val="24"/>
            <w:u w:val="single"/>
          </w:rPr>
          <w:t xml:space="preserve">10 июля 2026 года № 480</w:t>
        </w:r>
      </w:hyperlink>
      <w:r>
        <w:rPr>
          <w:rFonts w:ascii="Arial" w:cs="Arial" w:eastAsia="Arial" w:hAnsi="Arial"/>
          <w:i/>
          <w:iCs/>
          <w:sz w:val="24"/>
          <w:szCs w:val="24"/>
        </w:rPr>
        <w:t xml:space="preserve"> )</w:t>
      </w:r>
    </w:p>
    <w:p>
      <w:pPr>
        <w:spacing w:after="240" w:before="200"/>
        <w:jc w:val="center"/>
      </w:pPr>
      <w:r>
        <w:rPr>
          <w:rFonts w:ascii="Arial" w:cs="Arial" w:eastAsia="Arial" w:hAnsi="Arial"/>
          <w:b/>
          <w:bCs/>
          <w:sz w:val="32"/>
          <w:szCs w:val="32"/>
        </w:rPr>
        <w:t xml:space="preserve">Глава 3. Условия предоставления поручительства</w:t>
      </w:r>
    </w:p>
    <w:p>
      <w:pPr>
        <w:spacing w:after="120"/>
        <w:ind w:firstLine="567"/>
        <w:jc w:val="both"/>
      </w:pPr>
      <w:r>
        <w:rPr>
          <w:rFonts w:ascii="Arial" w:cs="Arial" w:eastAsia="Arial" w:hAnsi="Arial"/>
          <w:sz w:val="24"/>
          <w:szCs w:val="24"/>
        </w:rPr>
        <w:t xml:space="preserve">15. Субъект, претендующий на получение поручительства, должен соответствовать следующим критериям:</w:t>
      </w:r>
    </w:p>
    <w:p>
      <w:pPr>
        <w:spacing w:after="120"/>
        <w:ind w:firstLine="567"/>
        <w:jc w:val="both"/>
      </w:pPr>
      <w:r>
        <w:rPr>
          <w:rFonts w:ascii="Arial" w:cs="Arial" w:eastAsia="Arial" w:hAnsi="Arial"/>
          <w:sz w:val="24"/>
          <w:szCs w:val="24"/>
        </w:rPr>
        <w:t xml:space="preserve">1) резидент Кыргызской Республики;</w:t>
      </w:r>
    </w:p>
    <w:p>
      <w:pPr>
        <w:spacing w:after="120"/>
        <w:ind w:firstLine="567"/>
        <w:jc w:val="both"/>
      </w:pPr>
      <w:r>
        <w:rPr>
          <w:rFonts w:ascii="Arial" w:cs="Arial" w:eastAsia="Arial" w:hAnsi="Arial"/>
          <w:sz w:val="24"/>
          <w:szCs w:val="24"/>
        </w:rPr>
        <w:t xml:space="preserve">2) вклад субъекта должен составлять не менее 30 процентов от общей стоимости проекта, тем самым демонстрировать надежность и устойчивость в осуществлении проекта и/или деятельности;</w:t>
      </w:r>
    </w:p>
    <w:p>
      <w:pPr>
        <w:spacing w:after="120"/>
        <w:ind w:firstLine="567"/>
        <w:jc w:val="both"/>
      </w:pPr>
      <w:r>
        <w:rPr>
          <w:rFonts w:ascii="Arial" w:cs="Arial" w:eastAsia="Arial" w:hAnsi="Arial"/>
          <w:sz w:val="24"/>
          <w:szCs w:val="24"/>
        </w:rPr>
        <w:t xml:space="preserve">3) стратегическое значение для экономики страны, продовольственной и/или национальной безопасности;</w:t>
      </w:r>
    </w:p>
    <w:p>
      <w:pPr>
        <w:spacing w:after="120"/>
        <w:ind w:firstLine="567"/>
        <w:jc w:val="both"/>
      </w:pPr>
      <w:r>
        <w:rPr>
          <w:rFonts w:ascii="Arial" w:cs="Arial" w:eastAsia="Arial" w:hAnsi="Arial"/>
          <w:sz w:val="24"/>
          <w:szCs w:val="24"/>
        </w:rPr>
        <w:t xml:space="preserve">4) отсутствие просроченной задолженности по уплате налогов и других обязательных платежей в бюджет, а также по бюджетным кредитам.</w:t>
      </w:r>
    </w:p>
    <w:p>
      <w:pPr>
        <w:spacing w:after="120"/>
        <w:ind w:firstLine="567"/>
        <w:jc w:val="both"/>
      </w:pPr>
      <w:r>
        <w:rPr>
          <w:rFonts w:ascii="Arial" w:cs="Arial" w:eastAsia="Arial" w:hAnsi="Arial"/>
          <w:sz w:val="24"/>
          <w:szCs w:val="24"/>
        </w:rPr>
        <w:t xml:space="preserve">Подпункты 2 и 4 настоящего пункта не применяются в случаях необходимости обеспечения экономической, продовольственной и/или национальной безопасности страны в отношении государственных, муниципальных органов, а также субъектов, где 50 и более процентов доли участия в уставном капитале принадлежат государству.</w:t>
      </w:r>
    </w:p>
    <w:p>
      <w:pPr>
        <w:spacing w:after="120"/>
        <w:ind w:firstLine="567"/>
        <w:jc w:val="both"/>
      </w:pPr>
      <w:r>
        <w:rPr>
          <w:rFonts w:ascii="Arial" w:cs="Arial" w:eastAsia="Arial" w:hAnsi="Arial"/>
          <w:sz w:val="24"/>
          <w:szCs w:val="24"/>
        </w:rPr>
        <w:t xml:space="preserve">Требования, установленные подпунктом 2 настоящего пункта, могут не применяться к субъектам, независимо от их организационно-правовых форм и форм собственности, при реализации проектов, включенных Комиссией при Кабинете Министров Кыргызской Республики по отбору национальных инвестиционных проектов и проектов государственного значения в перечень национальных инвестиционных проектов и проектов государственного значения</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bxgl-avawrnfoycuo4lmz">
        <w:r>
          <w:rPr>
            <w:rFonts w:ascii="Arial" w:cs="Arial" w:eastAsia="Arial" w:hAnsi="Arial"/>
            <w:i/>
            <w:iCs/>
            <w:color w:val="1D4ED8"/>
            <w:sz w:val="24"/>
            <w:szCs w:val="24"/>
            <w:u w:val="single"/>
          </w:rPr>
          <w:t xml:space="preserve">10 июля 2026 года № 480</w:t>
        </w:r>
      </w:hyperlink>
      <w:r>
        <w:rPr>
          <w:rFonts w:ascii="Arial" w:cs="Arial" w:eastAsia="Arial" w:hAnsi="Arial"/>
          <w:i/>
          <w:iCs/>
          <w:sz w:val="24"/>
          <w:szCs w:val="24"/>
        </w:rPr>
        <w:t xml:space="preserve"> )</w:t>
      </w:r>
    </w:p>
    <w:p>
      <w:pPr>
        <w:spacing w:after="60"/>
        <w:ind w:firstLine="567"/>
        <w:jc w:val="both"/>
      </w:pPr>
      <w:r>
        <w:rPr>
          <w:rFonts w:ascii="Arial" w:cs="Arial" w:eastAsia="Arial" w:hAnsi="Arial"/>
          <w:sz w:val="24"/>
          <w:szCs w:val="24"/>
        </w:rPr>
        <w:t xml:space="preserve">16. Кредиторы осуществляют финансовый анализ субъекта, включающий оценку кредитного риска и платежеспособности субъекта без привлечения поручителя, а также мониторинг целевого использования выданных кредитных средств.</w:t>
      </w:r>
    </w:p>
    <w:p>
      <w:pPr>
        <w:spacing w:after="60"/>
        <w:ind w:firstLine="567"/>
        <w:jc w:val="both"/>
      </w:pPr>
      <w:r>
        <w:rPr>
          <w:rFonts w:ascii="Arial" w:cs="Arial" w:eastAsia="Arial" w:hAnsi="Arial"/>
          <w:sz w:val="24"/>
          <w:szCs w:val="24"/>
        </w:rPr>
        <w:t xml:space="preserve">В отношении кредиторов, деятельность которых регулируется Национальным банком Кыргызской Республики, указанные процедуры осуществляются в соответствии с нормативными правовыми актами Национального банка Кыргызской Республики и внутренними нормативными документами.</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wbz27miovgnzxbkomjp8s">
        <w:r>
          <w:rPr>
            <w:rFonts w:ascii="Arial" w:cs="Arial" w:eastAsia="Arial" w:hAnsi="Arial"/>
            <w:i/>
            <w:iCs/>
            <w:color w:val="1D4ED8"/>
            <w:sz w:val="24"/>
            <w:szCs w:val="24"/>
            <w:u w:val="single"/>
          </w:rPr>
          <w:t xml:space="preserve">26 мая 2026 года № 371</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17. Кредитор, контрагент или субъект (по взаимному согласию) вправе привлечь независимого аудитора для сопровождения проекта.</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7h9uyqedsgvaai4peott9">
        <w:r>
          <w:rPr>
            <w:rFonts w:ascii="Arial" w:cs="Arial" w:eastAsia="Arial" w:hAnsi="Arial"/>
            <w:i/>
            <w:iCs/>
            <w:color w:val="1D4ED8"/>
            <w:sz w:val="24"/>
            <w:szCs w:val="24"/>
            <w:u w:val="single"/>
          </w:rPr>
          <w:t xml:space="preserve">10 июля 2026 года № 480</w:t>
        </w:r>
      </w:hyperlink>
      <w:r>
        <w:rPr>
          <w:rFonts w:ascii="Arial" w:cs="Arial" w:eastAsia="Arial" w:hAnsi="Arial"/>
          <w:i/>
          <w:iCs/>
          <w:sz w:val="24"/>
          <w:szCs w:val="24"/>
        </w:rPr>
        <w:t xml:space="preserve"> )</w:t>
      </w:r>
    </w:p>
    <w:p>
      <w:pPr>
        <w:spacing w:after="120"/>
        <w:ind w:firstLine="709"/>
        <w:jc w:val="both"/>
      </w:pPr>
      <w:r>
        <w:rPr>
          <w:rFonts w:ascii="Arial" w:cs="Arial" w:eastAsia="Arial" w:hAnsi="Arial"/>
          <w:sz w:val="24"/>
          <w:szCs w:val="24"/>
        </w:rPr>
        <w:t xml:space="preserve">18. Поручительство предоставляется после получения поручителем:</w:t>
      </w:r>
    </w:p>
    <w:p>
      <w:pPr>
        <w:spacing w:after="120"/>
        <w:ind w:firstLine="709"/>
        <w:jc w:val="both"/>
      </w:pPr>
      <w:r>
        <w:rPr>
          <w:rFonts w:ascii="Arial" w:cs="Arial" w:eastAsia="Arial" w:hAnsi="Arial"/>
          <w:sz w:val="24"/>
          <w:szCs w:val="24"/>
        </w:rPr>
        <w:t xml:space="preserve">1) заключения кредитора о выдаче кредита, лизинга и/или банковской гарантии по итогам анализа платежеспособности субъекта и заверенной копии подписанного договора. Решение о предоставлении поручительства принимается после проведения анализа кредитного риска, подтверждения платежеспособности, проведенных кредитором и подтвержденных поручителем на основании методики оценки кредитных рисков, только после получения письменного обращения кредитора;</w:t>
      </w:r>
    </w:p>
    <w:p>
      <w:pPr>
        <w:spacing w:after="120"/>
        <w:ind w:firstLine="709"/>
        <w:jc w:val="both"/>
      </w:pPr>
      <w:r>
        <w:rPr>
          <w:rFonts w:ascii="Arial" w:cs="Arial" w:eastAsia="Arial" w:hAnsi="Arial"/>
          <w:sz w:val="24"/>
          <w:szCs w:val="24"/>
        </w:rPr>
        <w:t xml:space="preserve">2) заключения и/или решения уполномоченного органа управления контрагента по договору (соглашению) подряда.</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s2yal1vyfhglxb-w_jkth">
        <w:r>
          <w:rPr>
            <w:rFonts w:ascii="Arial" w:cs="Arial" w:eastAsia="Arial" w:hAnsi="Arial"/>
            <w:i/>
            <w:iCs/>
            <w:color w:val="1D4ED8"/>
            <w:sz w:val="24"/>
            <w:szCs w:val="24"/>
            <w:u w:val="single"/>
          </w:rPr>
          <w:t xml:space="preserve">10 июля 2026 года № 480</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18</w:t>
      </w:r>
      <w:r>
        <w:rPr>
          <w:rFonts w:ascii="Arial" w:cs="Arial" w:eastAsia="Arial" w:hAnsi="Arial"/>
          <w:sz w:val="20"/>
          <w:szCs w:val="20"/>
        </w:rPr>
        <w:t xml:space="preserve">1</w:t>
      </w:r>
      <w:r>
        <w:rPr>
          <w:rFonts w:ascii="Arial" w:cs="Arial" w:eastAsia="Arial" w:hAnsi="Arial"/>
          <w:sz w:val="24"/>
          <w:szCs w:val="24"/>
        </w:rPr>
        <w:t xml:space="preserve">. Для поручительств, стоимость которых составляет 20 и более процентов от балансовой стоимости активов, поручитель вправе проводить самостоятельную оценку кредитного риска на основании методики оценки кредитных рисков, утвержденной уполномоченным государственным органом по прогнозированию и исполнению бюджета.</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lbivx4wkf6pmxzy3d-tbz">
        <w:r>
          <w:rPr>
            <w:rFonts w:ascii="Arial" w:cs="Arial" w:eastAsia="Arial" w:hAnsi="Arial"/>
            <w:i/>
            <w:iCs/>
            <w:color w:val="1D4ED8"/>
            <w:sz w:val="24"/>
            <w:szCs w:val="24"/>
            <w:u w:val="single"/>
          </w:rPr>
          <w:t xml:space="preserve">26 мая 2026 года № 371</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19. Поручительством может быть предусмотрена как солидарная, так и субсидиарная ответственность поручителя.</w:t>
      </w:r>
    </w:p>
    <w:p>
      <w:pPr>
        <w:spacing w:after="120"/>
        <w:ind w:firstLine="567"/>
        <w:jc w:val="both"/>
      </w:pPr>
      <w:r>
        <w:rPr>
          <w:rFonts w:ascii="Arial" w:cs="Arial" w:eastAsia="Arial" w:hAnsi="Arial"/>
          <w:sz w:val="24"/>
          <w:szCs w:val="24"/>
        </w:rPr>
        <w:t xml:space="preserve">Поручитель несет солидарную ответственность перед кредитором и/или контрагентом, в случае если он является залогодержателем первой очереди в отношении имущества субъекта и/или третьих лиц, включая имущество, которое будет создано или приобретено в будущем, в том числе объекты, реализуемые с использованием финансирования по договору, заключенному между кредитором и/или контрагентом, и субъектом, при условии, что стоимость такого обеспечения полностью покрывает сумму обязательств поручителя. В иных случаях ответственность поручителя является субсидиарной.</w:t>
      </w:r>
    </w:p>
    <w:p>
      <w:pPr>
        <w:spacing w:after="120"/>
        <w:ind w:firstLine="567"/>
        <w:jc w:val="both"/>
      </w:pPr>
      <w:r>
        <w:rPr>
          <w:rFonts w:ascii="Arial" w:cs="Arial" w:eastAsia="Arial" w:hAnsi="Arial"/>
          <w:i/>
          <w:iCs/>
          <w:sz w:val="24"/>
          <w:szCs w:val="24"/>
        </w:rPr>
        <w:t xml:space="preserve">(В редакции постановлений Кабинета Министров КР от </w:t>
      </w:r>
      <w:hyperlink w:history="1" r:id="rId6fudsyghpmf8xxkwpzkmg">
        <w:r>
          <w:rPr>
            <w:rFonts w:ascii="Arial" w:cs="Arial" w:eastAsia="Arial" w:hAnsi="Arial"/>
            <w:i/>
            <w:iCs/>
            <w:color w:val="1D4ED8"/>
            <w:sz w:val="24"/>
            <w:szCs w:val="24"/>
            <w:u w:val="single"/>
          </w:rPr>
          <w:t xml:space="preserve">26 мая 2026 года № 371</w:t>
        </w:r>
      </w:hyperlink>
      <w:r>
        <w:rPr>
          <w:rFonts w:ascii="Arial" w:cs="Arial" w:eastAsia="Arial" w:hAnsi="Arial"/>
          <w:sz w:val="24"/>
          <w:szCs w:val="24"/>
        </w:rPr>
        <w:t xml:space="preserve">, </w:t>
      </w:r>
      <w:hyperlink w:history="1" r:id="rIdmeazc3dycurwcsoa2khaz">
        <w:r>
          <w:rPr>
            <w:rFonts w:ascii="Arial" w:cs="Arial" w:eastAsia="Arial" w:hAnsi="Arial"/>
            <w:i/>
            <w:iCs/>
            <w:color w:val="1D4ED8"/>
            <w:sz w:val="24"/>
            <w:szCs w:val="24"/>
            <w:u w:val="single"/>
          </w:rPr>
          <w:t xml:space="preserve">10 июля 2026 года № 480</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20. За предоставление поручительства поручителем взимается комиссия в соответствии с нижеприведенной таблицей:</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65"/>
        <w:gridCol w:w="1628"/>
        <w:gridCol w:w="1628"/>
        <w:gridCol w:w="1628"/>
        <w:gridCol w:w="1628"/>
      </w:tblGrid>
      <w:tr>
        <w:tc>
          <w:tcPr>
            <w:tcW w:type="dxa" w:w="3665"/>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Периодичность</w:t>
            </w:r>
          </w:p>
        </w:tc>
        <w:tc>
          <w:tcPr>
            <w:tcW w:type="dxa" w:w="3256"/>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Национальная валюта</w:t>
            </w:r>
          </w:p>
        </w:tc>
        <w:tc>
          <w:tcPr>
            <w:tcW w:type="dxa" w:w="3256"/>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Иностранная валюта</w:t>
            </w:r>
          </w:p>
        </w:tc>
      </w:tr>
      <w:tr>
        <w:tc>
          <w:tcPr>
            <w:vMerge w:val="continue"/>
            <w:tcBorders>
              <w:top w:val="single" w:color="CBBF9E" w:sz="4"/>
              <w:left w:val="single" w:color="CBBF9E" w:sz="4"/>
              <w:bottom w:val="single" w:color="CBBF9E" w:sz="4"/>
              <w:right w:val="single" w:color="CBBF9E" w:sz="4"/>
            </w:tcBorders>
          </w:tcPr>
          <w:p/>
        </w:tc>
        <w:tc>
          <w:tcPr>
            <w:tcW w:type="dxa" w:w="162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Низкий риск</w:t>
            </w:r>
          </w:p>
        </w:tc>
        <w:tc>
          <w:tcPr>
            <w:tcW w:type="dxa" w:w="162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Средний риск</w:t>
            </w:r>
          </w:p>
        </w:tc>
        <w:tc>
          <w:tcPr>
            <w:tcW w:type="dxa" w:w="162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Низкий риск</w:t>
            </w:r>
          </w:p>
        </w:tc>
        <w:tc>
          <w:tcPr>
            <w:tcW w:type="dxa" w:w="162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Средний риск</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Субсидиарная ответственность</w:t>
            </w:r>
          </w:p>
        </w:tc>
      </w:tr>
      <w:tr>
        <w:tc>
          <w:tcPr>
            <w:tcW w:type="dxa" w:w="36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Разовая</w:t>
            </w:r>
          </w:p>
        </w:tc>
        <w:tc>
          <w:tcPr>
            <w:tcW w:type="dxa" w:w="16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16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16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r>
      <w:tr>
        <w:tc>
          <w:tcPr>
            <w:tcW w:type="dxa" w:w="36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Ежегодная</w:t>
            </w:r>
          </w:p>
        </w:tc>
        <w:tc>
          <w:tcPr>
            <w:tcW w:type="dxa" w:w="16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w:t>
            </w:r>
          </w:p>
        </w:tc>
        <w:tc>
          <w:tcPr>
            <w:tcW w:type="dxa" w:w="16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w:t>
            </w:r>
          </w:p>
        </w:tc>
        <w:tc>
          <w:tcPr>
            <w:tcW w:type="dxa" w:w="16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w:t>
            </w:r>
          </w:p>
        </w:tc>
        <w:tc>
          <w:tcPr>
            <w:tcW w:type="dxa" w:w="16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w:t>
            </w:r>
          </w:p>
        </w:tc>
      </w:tr>
      <w:tr>
        <w:tc>
          <w:tcPr>
            <w:tcW w:type="dxa" w:w="10177"/>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Солидарная ответственность</w:t>
            </w:r>
          </w:p>
        </w:tc>
      </w:tr>
      <w:tr>
        <w:tc>
          <w:tcPr>
            <w:tcW w:type="dxa" w:w="36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Разовая</w:t>
            </w:r>
          </w:p>
        </w:tc>
        <w:tc>
          <w:tcPr>
            <w:tcW w:type="dxa" w:w="16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16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6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6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r>
      <w:tr>
        <w:tc>
          <w:tcPr>
            <w:tcW w:type="dxa" w:w="36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Ежегодная</w:t>
            </w:r>
          </w:p>
        </w:tc>
        <w:tc>
          <w:tcPr>
            <w:tcW w:type="dxa" w:w="16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0,38%</w:t>
            </w:r>
          </w:p>
        </w:tc>
        <w:tc>
          <w:tcPr>
            <w:tcW w:type="dxa" w:w="16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w:t>
            </w:r>
          </w:p>
        </w:tc>
        <w:tc>
          <w:tcPr>
            <w:tcW w:type="dxa" w:w="16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w:t>
            </w:r>
          </w:p>
        </w:tc>
        <w:tc>
          <w:tcPr>
            <w:tcW w:type="dxa" w:w="16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0,63%</w:t>
            </w:r>
          </w:p>
        </w:tc>
      </w:tr>
    </w:tbl>
    <w:p>
      <w:pPr>
        <w:spacing w:after="120" w:before="120"/>
        <w:ind w:firstLine="567"/>
        <w:jc w:val="both"/>
      </w:pPr>
      <w:r>
        <w:rPr>
          <w:rFonts w:ascii="Arial" w:cs="Arial" w:eastAsia="Arial" w:hAnsi="Arial"/>
          <w:sz w:val="24"/>
          <w:szCs w:val="24"/>
        </w:rPr>
        <w:t xml:space="preserve"/>
      </w:r>
    </w:p>
    <w:p>
      <w:pPr>
        <w:spacing w:after="120" w:before="120"/>
        <w:ind w:firstLine="567"/>
        <w:jc w:val="both"/>
      </w:pPr>
      <w:r>
        <w:rPr>
          <w:rFonts w:ascii="Arial" w:cs="Arial" w:eastAsia="Arial" w:hAnsi="Arial"/>
          <w:sz w:val="24"/>
          <w:szCs w:val="24"/>
        </w:rPr>
        <w:t xml:space="preserve">Примечание:</w:t>
      </w:r>
    </w:p>
    <w:p>
      <w:pPr>
        <w:spacing w:after="120"/>
        <w:ind w:firstLine="567"/>
        <w:jc w:val="both"/>
      </w:pPr>
      <w:r>
        <w:rPr>
          <w:rFonts w:ascii="Arial" w:cs="Arial" w:eastAsia="Arial" w:hAnsi="Arial"/>
          <w:sz w:val="24"/>
          <w:szCs w:val="24"/>
        </w:rPr>
        <w:t xml:space="preserve">- разовая комиссия, предусмотренная настоящим пунктом, начисляется на сумму поручительства и подлежит уплате субъектом до заключения договора поручительства;</w:t>
      </w:r>
    </w:p>
    <w:p>
      <w:pPr>
        <w:spacing w:after="120"/>
        <w:ind w:firstLine="567"/>
        <w:jc w:val="both"/>
      </w:pPr>
      <w:r>
        <w:rPr>
          <w:rFonts w:ascii="Arial" w:cs="Arial" w:eastAsia="Arial" w:hAnsi="Arial"/>
          <w:sz w:val="24"/>
          <w:szCs w:val="24"/>
        </w:rPr>
        <w:t xml:space="preserve">- ежегодная комиссия, предусмотренная настоящим пунктом, начисляется на остаток суммы поручительства по состоянию на 1 января каждого года и подлежит уплате субъектом до 1 марта соответствующего года.</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dmk7ecand4jpfsuorrscj">
        <w:r>
          <w:rPr>
            <w:rFonts w:ascii="Arial" w:cs="Arial" w:eastAsia="Arial" w:hAnsi="Arial"/>
            <w:i/>
            <w:iCs/>
            <w:color w:val="1D4ED8"/>
            <w:sz w:val="24"/>
            <w:szCs w:val="24"/>
            <w:u w:val="single"/>
          </w:rPr>
          <w:t xml:space="preserve">26 мая 2026 года № 371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20</w:t>
      </w:r>
      <w:r>
        <w:rPr>
          <w:rFonts w:ascii="Arial" w:cs="Arial" w:eastAsia="Arial" w:hAnsi="Arial"/>
          <w:sz w:val="20"/>
          <w:szCs w:val="20"/>
        </w:rPr>
        <w:t xml:space="preserve">1</w:t>
      </w:r>
      <w:r>
        <w:rPr>
          <w:rFonts w:ascii="Arial" w:cs="Arial" w:eastAsia="Arial" w:hAnsi="Arial"/>
          <w:sz w:val="24"/>
          <w:szCs w:val="24"/>
        </w:rPr>
        <w:t xml:space="preserve">. За рассмотрение вопроса о предоставлении поручительства уполномоченным государственным органом по экономическому прогнозированию взимается административный сбор в размере 200000 (двести тысяч) сомов.</w:t>
      </w:r>
    </w:p>
    <w:p>
      <w:pPr>
        <w:spacing w:after="60"/>
        <w:ind w:firstLine="567"/>
        <w:jc w:val="both"/>
      </w:pPr>
      <w:r>
        <w:rPr>
          <w:rFonts w:ascii="Arial" w:cs="Arial" w:eastAsia="Arial" w:hAnsi="Arial"/>
          <w:sz w:val="24"/>
          <w:szCs w:val="24"/>
        </w:rPr>
        <w:t xml:space="preserve">Требования, установленные настоящим пунктом, не распространяются на государственные и муниципальные органы, предприятия и учреждения, а также на субъекты, в уставном капитале которых 50 и более процентов доли участия принадлежат государству.</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4383pq15tupr2cvua0c0d">
        <w:r>
          <w:rPr>
            <w:rFonts w:ascii="Arial" w:cs="Arial" w:eastAsia="Arial" w:hAnsi="Arial"/>
            <w:i/>
            <w:iCs/>
            <w:color w:val="1D4ED8"/>
            <w:sz w:val="24"/>
            <w:szCs w:val="24"/>
            <w:u w:val="single"/>
          </w:rPr>
          <w:t xml:space="preserve">26 мая 2026 года № 371</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21. Субъекту, имеющему стратегическое значение для экономической, продовольственной и (или) национальной безопасности страны, где 50 и более процентов доли участия в уставном капитале принадлежат государству, может быть предоставлена отсрочка в части оплаты комиссии, предусмотренной пунктом 20 настоящего Порядка, на срок, не превышающий половину срока договора, заключенного между кредитором и/или контрагентом, и субъектом, но не более чем 36 месяцев.</w:t>
      </w:r>
    </w:p>
    <w:p>
      <w:pPr>
        <w:spacing w:after="120"/>
        <w:ind w:firstLine="567"/>
        <w:jc w:val="both"/>
      </w:pPr>
      <w:r>
        <w:rPr>
          <w:rFonts w:ascii="Arial" w:cs="Arial" w:eastAsia="Arial" w:hAnsi="Arial"/>
          <w:sz w:val="24"/>
          <w:szCs w:val="24"/>
        </w:rPr>
        <w:t xml:space="preserve">Субъекту, независимо от его организационно-правовой формы и формы собственности, реализующему проект, включенный Комиссией при Кабинете Министров Кыргызской Республики по отбору национальных инвестиционных проектов и проектов государственного значения в перечень национальных инвестиционных проектов и проектов государственного значения, может быть предоставлена отсрочка по оплате комиссии, предусмотренной пунктом 20 настоящего Порядка, на срок не более 24 месяцев.</w:t>
      </w:r>
    </w:p>
    <w:p>
      <w:pPr>
        <w:spacing w:after="120"/>
        <w:ind w:firstLine="567"/>
        <w:jc w:val="both"/>
      </w:pPr>
      <w:r>
        <w:rPr>
          <w:rFonts w:ascii="Arial" w:cs="Arial" w:eastAsia="Arial" w:hAnsi="Arial"/>
          <w:i/>
          <w:iCs/>
          <w:sz w:val="24"/>
          <w:szCs w:val="24"/>
        </w:rPr>
        <w:t xml:space="preserve">(В редакции постановлений Кабинета Министров КР от </w:t>
      </w:r>
      <w:hyperlink w:history="1" r:id="rIdchoczrwjdze73albpo8wd">
        <w:r>
          <w:rPr>
            <w:rFonts w:ascii="Arial" w:cs="Arial" w:eastAsia="Arial" w:hAnsi="Arial"/>
            <w:i/>
            <w:iCs/>
            <w:color w:val="1D4ED8"/>
            <w:sz w:val="24"/>
            <w:szCs w:val="24"/>
            <w:u w:val="single"/>
          </w:rPr>
          <w:t xml:space="preserve">26 мая 2026 года № 371</w:t>
        </w:r>
      </w:hyperlink>
      <w:r>
        <w:rPr>
          <w:rFonts w:ascii="Arial" w:cs="Arial" w:eastAsia="Arial" w:hAnsi="Arial"/>
          <w:i/>
          <w:iCs/>
          <w:sz w:val="24"/>
          <w:szCs w:val="24"/>
        </w:rPr>
        <w:t xml:space="preserve">, </w:t>
      </w:r>
      <w:hyperlink w:history="1" r:id="rId_z-nasfnn3pghrsx6zkd6">
        <w:r>
          <w:rPr>
            <w:rFonts w:ascii="Arial" w:cs="Arial" w:eastAsia="Arial" w:hAnsi="Arial"/>
            <w:i/>
            <w:iCs/>
            <w:color w:val="1D4ED8"/>
            <w:sz w:val="24"/>
            <w:szCs w:val="24"/>
            <w:u w:val="single"/>
          </w:rPr>
          <w:t xml:space="preserve">1 июля 2026 года №454</w:t>
        </w:r>
      </w:hyperlink>
      <w:r>
        <w:rPr>
          <w:rFonts w:ascii="Arial" w:cs="Arial" w:eastAsia="Arial" w:hAnsi="Arial"/>
          <w:i/>
          <w:iCs/>
          <w:sz w:val="24"/>
          <w:szCs w:val="24"/>
        </w:rPr>
        <w:t xml:space="preserve">, </w:t>
      </w:r>
      <w:hyperlink w:history="1" r:id="rIdd_jjvu6aeqr_js9w8y7wb">
        <w:r>
          <w:rPr>
            <w:rFonts w:ascii="Arial" w:cs="Arial" w:eastAsia="Arial" w:hAnsi="Arial"/>
            <w:i/>
            <w:iCs/>
            <w:color w:val="1D4ED8"/>
            <w:sz w:val="24"/>
            <w:szCs w:val="24"/>
            <w:u w:val="single"/>
          </w:rPr>
          <w:t xml:space="preserve">10 июля 2026 года № 480 </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21</w:t>
      </w:r>
      <w:r>
        <w:rPr>
          <w:rFonts w:ascii="Arial" w:cs="Arial" w:eastAsia="Arial" w:hAnsi="Arial"/>
          <w:sz w:val="20"/>
          <w:szCs w:val="20"/>
        </w:rPr>
        <w:t xml:space="preserve">1</w:t>
      </w:r>
      <w:r>
        <w:rPr>
          <w:rFonts w:ascii="Arial" w:cs="Arial" w:eastAsia="Arial" w:hAnsi="Arial"/>
          <w:sz w:val="24"/>
          <w:szCs w:val="24"/>
        </w:rPr>
        <w:t xml:space="preserve">. После ввода в эксплуатацию объектов, реализуемых с использованием финансирования по договору, заключенному между кредитором и/или контрагентом, и субъектом, а также принятия кредитором и/или контрагентом результатов финансирования в качестве обеспечения по указанному договору кредитор и/или контрагент обязаны освободить поручителя от обязательств по договору поручительства, если принятое обеспечение покрывает остаток обязательств субъекта по договору.</w:t>
      </w:r>
    </w:p>
    <w:p>
      <w:pPr>
        <w:spacing w:after="120"/>
        <w:ind w:firstLine="709"/>
        <w:jc w:val="both"/>
      </w:pPr>
      <w:r>
        <w:rPr>
          <w:rFonts w:ascii="Arial" w:cs="Arial" w:eastAsia="Arial" w:hAnsi="Arial"/>
          <w:sz w:val="24"/>
          <w:szCs w:val="24"/>
        </w:rPr>
        <w:t xml:space="preserve">21</w:t>
      </w:r>
      <w:r>
        <w:rPr>
          <w:rFonts w:ascii="Arial" w:cs="Arial" w:eastAsia="Arial" w:hAnsi="Arial"/>
          <w:sz w:val="20"/>
          <w:szCs w:val="20"/>
        </w:rPr>
        <w:t xml:space="preserve">2</w:t>
      </w:r>
      <w:r>
        <w:rPr>
          <w:rFonts w:ascii="Arial" w:cs="Arial" w:eastAsia="Arial" w:hAnsi="Arial"/>
          <w:sz w:val="24"/>
          <w:szCs w:val="24"/>
        </w:rPr>
        <w:t xml:space="preserve">. В случае если кредитор и/или контрагент принимают решение о сохранении поручительства после принятия обеспечения, включая объекты финансирования, иное имущество субъекта или третьих лиц, покрывающее остаток обязательств субъекта по договору, заключенному между кредитором и/или контрагентом, и субъектом на момент принятия такого обеспечения, с кредитора и/или контрагента взимается ежегодная комиссия в соответствии с пунктом 20 настоящего Порядка.</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y3lnwsx2xhavq4vkwlgqf">
        <w:r>
          <w:rPr>
            <w:rFonts w:ascii="Arial" w:cs="Arial" w:eastAsia="Arial" w:hAnsi="Arial"/>
            <w:i/>
            <w:iCs/>
            <w:color w:val="1D4ED8"/>
            <w:sz w:val="24"/>
            <w:szCs w:val="24"/>
            <w:u w:val="single"/>
          </w:rPr>
          <w:t xml:space="preserve">10 июля 2026 года № 480</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22. Если средства финансирования были освоены субъектом не полностью либо объем обязательств по основному договору был уменьшен, сумма поручительства уменьшается в соответствии с дополнительным соглашением о внесении изменений (дополнений) в основной договор путем заключения дополнительного соглашения к договору поручительства. В данном случае выплаченная разовая комиссия полностью или частично возврату не подлежит.</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fqicxmorfanp7iptv2trf">
        <w:r>
          <w:rPr>
            <w:rFonts w:ascii="Arial" w:cs="Arial" w:eastAsia="Arial" w:hAnsi="Arial"/>
            <w:i/>
            <w:iCs/>
            <w:color w:val="1D4ED8"/>
            <w:sz w:val="24"/>
            <w:szCs w:val="24"/>
            <w:u w:val="single"/>
          </w:rPr>
          <w:t xml:space="preserve">10 июля 2026 года № 480</w:t>
        </w:r>
      </w:hyperlink>
      <w:r>
        <w:rPr>
          <w:rFonts w:ascii="Arial" w:cs="Arial" w:eastAsia="Arial" w:hAnsi="Arial"/>
          <w:i/>
          <w:iCs/>
          <w:sz w:val="24"/>
          <w:szCs w:val="24"/>
        </w:rPr>
        <w:t xml:space="preserve"> )</w:t>
      </w:r>
    </w:p>
    <w:p>
      <w:pPr>
        <w:spacing w:after="60"/>
        <w:ind w:firstLine="567"/>
        <w:jc w:val="both"/>
      </w:pPr>
      <w:r>
        <w:rPr>
          <w:rFonts w:ascii="Arial" w:cs="Arial" w:eastAsia="Arial" w:hAnsi="Arial"/>
          <w:sz w:val="24"/>
          <w:szCs w:val="24"/>
        </w:rPr>
        <w:t xml:space="preserve">23. За нецелевое использование кредитных, лизинговых ресурсов, предоставление субъектом недостоверных сведений и документов, а также внесение изменений субъектом в любые договоры с третьими лицами, прямо или косвенно влияющие на возможность исполнения субъектом своих обязательств по договору, заключенному между кредитором и/или контрагентом, и субъектом без согласия поручителя, поручитель вправе взыскать с субъекта неустойку в размере 5 процентов от общей суммы поручительства в соответствии с условиями договора поручительства.</w:t>
      </w:r>
    </w:p>
    <w:p>
      <w:pPr>
        <w:spacing w:after="60"/>
        <w:ind w:firstLine="567"/>
        <w:jc w:val="both"/>
      </w:pPr>
      <w:r>
        <w:rPr>
          <w:rFonts w:ascii="Arial" w:cs="Arial" w:eastAsia="Arial" w:hAnsi="Arial"/>
          <w:sz w:val="24"/>
          <w:szCs w:val="24"/>
        </w:rPr>
        <w:t xml:space="preserve">Сумма неустойки перечисляется на расчетный счет поручителя.</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mbk1c-ykchv9mcwgvjg9f">
        <w:r>
          <w:rPr>
            <w:rFonts w:ascii="Arial" w:cs="Arial" w:eastAsia="Arial" w:hAnsi="Arial"/>
            <w:i/>
            <w:iCs/>
            <w:color w:val="1D4ED8"/>
            <w:sz w:val="24"/>
            <w:szCs w:val="24"/>
            <w:u w:val="single"/>
          </w:rPr>
          <w:t xml:space="preserve">26 мая 2026 года № 371</w:t>
        </w:r>
      </w:hyperlink>
      <w:r>
        <w:rPr>
          <w:rFonts w:ascii="Arial" w:cs="Arial" w:eastAsia="Arial" w:hAnsi="Arial"/>
          <w:i/>
          <w:iCs/>
          <w:sz w:val="24"/>
          <w:szCs w:val="24"/>
        </w:rPr>
        <w:t xml:space="preserve">, </w:t>
      </w:r>
      <w:hyperlink w:history="1" r:id="rIdrd_axcaqvn3lyf5sr4w4e">
        <w:r>
          <w:rPr>
            <w:rFonts w:ascii="Arial" w:cs="Arial" w:eastAsia="Arial" w:hAnsi="Arial"/>
            <w:i/>
            <w:iCs/>
            <w:color w:val="1D4ED8"/>
            <w:sz w:val="24"/>
            <w:szCs w:val="24"/>
            <w:u w:val="single"/>
          </w:rPr>
          <w:t xml:space="preserve">10 июля 2026 года № 480 </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23</w:t>
      </w:r>
      <w:r>
        <w:rPr>
          <w:rFonts w:ascii="Arial" w:cs="Arial" w:eastAsia="Arial" w:hAnsi="Arial"/>
          <w:sz w:val="20"/>
          <w:szCs w:val="20"/>
        </w:rPr>
        <w:t xml:space="preserve">1</w:t>
      </w:r>
      <w:r>
        <w:rPr>
          <w:rFonts w:ascii="Arial" w:cs="Arial" w:eastAsia="Arial" w:hAnsi="Arial"/>
          <w:sz w:val="24"/>
          <w:szCs w:val="24"/>
        </w:rPr>
        <w:t xml:space="preserve">. В случае внесения кредитором и/или контрагентом изменений, влекущих увеличение ответственности или иные неблагоприятные последствия для поручителя, а также при внесении иных изменений в договор, заключенный между кредитором и/или контрагентом, и субъектом без согласия поручителя, поручитель вправе потребовать уплаты штрафа в размере 5 процентов от общей суммы поручительства.</w:t>
      </w:r>
    </w:p>
    <w:p>
      <w:pPr>
        <w:spacing w:after="120"/>
        <w:ind w:firstLine="709"/>
        <w:jc w:val="both"/>
      </w:pPr>
      <w:r>
        <w:rPr>
          <w:rFonts w:ascii="Arial" w:cs="Arial" w:eastAsia="Arial" w:hAnsi="Arial"/>
          <w:sz w:val="24"/>
          <w:szCs w:val="24"/>
        </w:rPr>
        <w:t xml:space="preserve">После получения уведомления от поручителя кредитор и/или контрагент обязаны произвести оплату суммы штрафа, указанной в уведомлении.</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n1s4qdzsqlyfo7stxdjex">
        <w:r>
          <w:rPr>
            <w:rFonts w:ascii="Arial" w:cs="Arial" w:eastAsia="Arial" w:hAnsi="Arial"/>
            <w:i/>
            <w:iCs/>
            <w:color w:val="1D4ED8"/>
            <w:sz w:val="24"/>
            <w:szCs w:val="24"/>
            <w:u w:val="single"/>
          </w:rPr>
          <w:t xml:space="preserve">10 июля 2026 года № 480</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24. Все расходы, связанные с оформлением договора поручительства, возлагаются на субъект.</w:t>
      </w:r>
    </w:p>
    <w:p>
      <w:pPr>
        <w:spacing w:after="120"/>
        <w:ind w:firstLine="567"/>
        <w:jc w:val="both"/>
      </w:pPr>
      <w:r>
        <w:rPr>
          <w:rFonts w:ascii="Arial" w:cs="Arial" w:eastAsia="Arial" w:hAnsi="Arial"/>
          <w:sz w:val="24"/>
          <w:szCs w:val="24"/>
        </w:rPr>
        <w:t xml:space="preserve">25. При поступлении кредитору любых денежных средств от субъекта, третьих лиц или поручителей, включая субсидии по процентам, полученные кредитором, обязательства поручителя перед кредитором уменьшаются пропорционально сумме такого погашения. Средства, полученные от реализации залогового имущества, также уменьшают обязательства поручителя перед кредитором.</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hv3m58g4ws3a7tyqrrte">
        <w:r>
          <w:rPr>
            <w:rFonts w:ascii="Arial" w:cs="Arial" w:eastAsia="Arial" w:hAnsi="Arial"/>
            <w:i/>
            <w:iCs/>
            <w:color w:val="1D4ED8"/>
            <w:sz w:val="24"/>
            <w:szCs w:val="24"/>
            <w:u w:val="single"/>
          </w:rPr>
          <w:t xml:space="preserve">26 мая 2026 года № 371</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26. Ответственность поручителя при неисполнении или ненадлежащем исполнении субъектом обеспеченных поручительством обязательств по договору определяется в соответствии с гражданским законодательством Кыргызской Республики и в размере суммы поручительства.</w:t>
      </w:r>
    </w:p>
    <w:p>
      <w:pPr>
        <w:spacing w:after="120"/>
        <w:ind w:firstLine="567"/>
        <w:jc w:val="both"/>
      </w:pPr>
      <w:r>
        <w:rPr>
          <w:rFonts w:ascii="Arial" w:cs="Arial" w:eastAsia="Arial" w:hAnsi="Arial"/>
          <w:sz w:val="24"/>
          <w:szCs w:val="24"/>
        </w:rPr>
        <w:t xml:space="preserve">При этом поручитель исполняет обязательства в соответствии с утвержденным графиком между кредитором и/или контрагентом, и субъектом, осуществляя платежи по итогам соответствующего отчетного периода в конце отчетного года.</w:t>
      </w:r>
    </w:p>
    <w:p>
      <w:pPr>
        <w:spacing w:after="120"/>
        <w:ind w:firstLine="567"/>
        <w:jc w:val="both"/>
      </w:pPr>
      <w:r>
        <w:rPr>
          <w:rFonts w:ascii="Arial" w:cs="Arial" w:eastAsia="Arial" w:hAnsi="Arial"/>
          <w:i/>
          <w:iCs/>
          <w:sz w:val="24"/>
          <w:szCs w:val="24"/>
        </w:rPr>
        <w:t xml:space="preserve">(В редакции постановлений Кабинета Министров КР от </w:t>
      </w:r>
      <w:hyperlink w:history="1" r:id="rIdhlxnos0cg_vy84c1uhobb">
        <w:r>
          <w:rPr>
            <w:rFonts w:ascii="Arial" w:cs="Arial" w:eastAsia="Arial" w:hAnsi="Arial"/>
            <w:i/>
            <w:iCs/>
            <w:color w:val="1D4ED8"/>
            <w:sz w:val="24"/>
            <w:szCs w:val="24"/>
            <w:u w:val="single"/>
          </w:rPr>
          <w:t xml:space="preserve">26 мая 2026 года № 371</w:t>
        </w:r>
      </w:hyperlink>
      <w:r>
        <w:rPr>
          <w:rFonts w:ascii="Arial" w:cs="Arial" w:eastAsia="Arial" w:hAnsi="Arial"/>
          <w:i/>
          <w:iCs/>
          <w:sz w:val="24"/>
          <w:szCs w:val="24"/>
        </w:rPr>
        <w:t xml:space="preserve">, </w:t>
      </w:r>
      <w:hyperlink w:history="1" r:id="rIdk-ylnmpryh3sgbgu53n2q">
        <w:r>
          <w:rPr>
            <w:rFonts w:ascii="Arial" w:cs="Arial" w:eastAsia="Arial" w:hAnsi="Arial"/>
            <w:i/>
            <w:iCs/>
            <w:color w:val="1D4ED8"/>
            <w:sz w:val="24"/>
            <w:szCs w:val="24"/>
            <w:u w:val="single"/>
          </w:rPr>
          <w:t xml:space="preserve">10 июля 2026 года № 480</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27. Обязательства поручителя по исполнению поручительства осуществляются за счет средств сформированных резервов на поручительство и собственного капитала. При этом годовой объем непогашенных обязательств не должен превышать 80 процентов от объема сформированных резервов на поручительство и собственного капитала.</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r_mhaeg_d0_tb-a9fjfbn">
        <w:r>
          <w:rPr>
            <w:rFonts w:ascii="Arial" w:cs="Arial" w:eastAsia="Arial" w:hAnsi="Arial"/>
            <w:i/>
            <w:iCs/>
            <w:color w:val="1D4ED8"/>
            <w:sz w:val="24"/>
            <w:szCs w:val="24"/>
            <w:u w:val="single"/>
          </w:rPr>
          <w:t xml:space="preserve">26 мая 2026 года № 371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28. По согласованию сторон поручитель вправе исполнять принятые обязательства перед кредитором и/или контрагентом путем передачи государственных долговых ценных бумаг (государственные казначейские облигации, государственные казначейские векселя) по их номинальной стоимости.</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bb0_14ic7wsuz6i9kbbwk">
        <w:r>
          <w:rPr>
            <w:rFonts w:ascii="Arial" w:cs="Arial" w:eastAsia="Arial" w:hAnsi="Arial"/>
            <w:i/>
            <w:iCs/>
            <w:color w:val="1D4ED8"/>
            <w:sz w:val="24"/>
            <w:szCs w:val="24"/>
            <w:u w:val="single"/>
          </w:rPr>
          <w:t xml:space="preserve">26 мая 2026 года № 371</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29. Обязанность поручителя по исполнению обязательств субъекта наступает при нарушении субъектом сроков исполнения обязательств. При этом кредитор и/или контрагентом в письменном виде уведомляет поручителя о нарушении условий договора, допущенном субъектом.</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qddzwzwmdp-fvxbnaqbxo">
        <w:r>
          <w:rPr>
            <w:rFonts w:ascii="Arial" w:cs="Arial" w:eastAsia="Arial" w:hAnsi="Arial"/>
            <w:i/>
            <w:iCs/>
            <w:color w:val="1D4ED8"/>
            <w:sz w:val="24"/>
            <w:szCs w:val="24"/>
            <w:u w:val="single"/>
          </w:rPr>
          <w:t xml:space="preserve">10 июля 2026 года № 480</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30. В случае если задержка в предоставлении финансирования, а также иные действия или бездействие кредитора и/или контрагента, выражающиеся в нарушении условий договора, в том числе сроков перечисления средств, отказе от исполнения обязательств без законных оснований либо иных нарушениях, допущенных по их инициативе, повлекут негативные последствия для реализации проекта и ухудшат финансовое состояние субъекта, включая наступление его неплатежеспособности, при условии надлежащего исполнения субъектом всех договорных обязательств кредитор и/или контрагент утрачивают право предъявлять требования к поручителю по исполнению обеспеченных обязательств.</w:t>
      </w:r>
    </w:p>
    <w:p>
      <w:pPr>
        <w:spacing w:after="120"/>
        <w:ind w:firstLine="709"/>
        <w:jc w:val="both"/>
      </w:pPr>
      <w:r>
        <w:rPr>
          <w:rFonts w:ascii="Arial" w:cs="Arial" w:eastAsia="Arial" w:hAnsi="Arial"/>
          <w:sz w:val="24"/>
          <w:szCs w:val="24"/>
        </w:rPr>
        <w:t xml:space="preserve">В случае отказа кредитора и/или контрагента от признания своей ответственности в досудебном порядке разрешение спора осуществляется в соответствии с законодательством Кыргызской Республики.</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qliojfl7xt2dkfuds0wph">
        <w:r>
          <w:rPr>
            <w:rFonts w:ascii="Arial" w:cs="Arial" w:eastAsia="Arial" w:hAnsi="Arial"/>
            <w:i/>
            <w:iCs/>
            <w:color w:val="1D4ED8"/>
            <w:sz w:val="24"/>
            <w:szCs w:val="24"/>
            <w:u w:val="single"/>
          </w:rPr>
          <w:t xml:space="preserve">10 июля 2026 года № 480</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31. Обязанность поручителя, указанная в пункте 29 настоящего Порядка, возникает после предоставления кредитором и/или контрагентом заверенных документов, подтверждающих объем неисполненных обязательств субъекта по основному договору, а также иных документов, предусмотренных договором поручительства.</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43twa_knrojrsnwjm-rub">
        <w:r>
          <w:rPr>
            <w:rFonts w:ascii="Arial" w:cs="Arial" w:eastAsia="Arial" w:hAnsi="Arial"/>
            <w:i/>
            <w:iCs/>
            <w:color w:val="1D4ED8"/>
            <w:sz w:val="24"/>
            <w:szCs w:val="24"/>
            <w:u w:val="single"/>
          </w:rPr>
          <w:t xml:space="preserve">10 июля 2026 года № 480</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32. В случае наступления события, влекущего исполнение поручительства, кредитор и/или контрагентом направляет в адрес поручителя соответствующее уведомление, в котором указывается сумма основного долга и начисленных процентов по состоянию на дату направления уведомления. С момента уведомления о досудебном порядке урегулирования задолженности кредитор обязан приостановить начисление неустойки.</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7s96eub7jrde2hfaxbllv">
        <w:r>
          <w:rPr>
            <w:rFonts w:ascii="Arial" w:cs="Arial" w:eastAsia="Arial" w:hAnsi="Arial"/>
            <w:i/>
            <w:iCs/>
            <w:color w:val="1D4ED8"/>
            <w:sz w:val="24"/>
            <w:szCs w:val="24"/>
            <w:u w:val="single"/>
          </w:rPr>
          <w:t xml:space="preserve">10 июля 2026 года № 480</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33. В случае исполнения поручителем обязательств субъекта и установления факта нарушения субъектом условий договора поручительства поручитель вправе применить один или несколько из следующих механизмов возврата средств:</w:t>
      </w:r>
    </w:p>
    <w:p>
      <w:pPr>
        <w:spacing w:after="120"/>
        <w:ind w:firstLine="567"/>
        <w:jc w:val="both"/>
      </w:pPr>
      <w:r>
        <w:rPr>
          <w:rFonts w:ascii="Arial" w:cs="Arial" w:eastAsia="Arial" w:hAnsi="Arial"/>
          <w:sz w:val="24"/>
          <w:szCs w:val="24"/>
        </w:rPr>
        <w:t xml:space="preserve">1) согласно договору безакцептного (бесспорного) списания денежных средств при наличии денежных средств на расчетном счете в коммерческом банке поручитель вправе инициировать безакцептное списание сумм задолженности;</w:t>
      </w:r>
    </w:p>
    <w:p>
      <w:pPr>
        <w:spacing w:after="120"/>
        <w:ind w:firstLine="567"/>
        <w:jc w:val="both"/>
      </w:pPr>
      <w:r>
        <w:rPr>
          <w:rFonts w:ascii="Arial" w:cs="Arial" w:eastAsia="Arial" w:hAnsi="Arial"/>
          <w:sz w:val="24"/>
          <w:szCs w:val="24"/>
        </w:rPr>
        <w:t xml:space="preserve">2) принятие активов субъекта в счет уменьшения и/или погашения задолженности;</w:t>
      </w:r>
    </w:p>
    <w:p>
      <w:pPr>
        <w:spacing w:after="120"/>
        <w:ind w:firstLine="567"/>
        <w:jc w:val="both"/>
      </w:pPr>
      <w:r>
        <w:rPr>
          <w:rFonts w:ascii="Arial" w:cs="Arial" w:eastAsia="Arial" w:hAnsi="Arial"/>
          <w:sz w:val="24"/>
          <w:szCs w:val="24"/>
        </w:rPr>
        <w:t xml:space="preserve">3) назначение финансового контролера - поручитель вправе инициировать назначение финансового контролера в отношении субъекта с осуществлением контроля за его активами, финансовыми потоками и выполнением обязательств с целью последующего погашения задолженности. Совместно с кредитором и/или контрагентом поручитель также вправе участвовать в контроле за расходованием средств, обеспечивая их рационально целевое и эффективное использование в рамках реализации проекта и погашения задолженности;</w:t>
      </w:r>
    </w:p>
    <w:p>
      <w:pPr>
        <w:spacing w:after="120"/>
        <w:ind w:firstLine="567"/>
        <w:jc w:val="both"/>
      </w:pPr>
      <w:r>
        <w:rPr>
          <w:rFonts w:ascii="Arial" w:cs="Arial" w:eastAsia="Arial" w:hAnsi="Arial"/>
          <w:sz w:val="24"/>
          <w:szCs w:val="24"/>
        </w:rPr>
        <w:t xml:space="preserve">4) перевод долга субъекта на другое лицо. Допускается с согласия поручителя, если повышается надежность исполнения обязательств;</w:t>
      </w:r>
    </w:p>
    <w:p>
      <w:pPr>
        <w:spacing w:after="120"/>
        <w:ind w:firstLine="567"/>
        <w:jc w:val="both"/>
      </w:pPr>
      <w:r>
        <w:rPr>
          <w:rFonts w:ascii="Arial" w:cs="Arial" w:eastAsia="Arial" w:hAnsi="Arial"/>
          <w:sz w:val="24"/>
          <w:szCs w:val="24"/>
        </w:rPr>
        <w:t xml:space="preserve">5) в случае неисполнения субъектом обязательств поручитель вправе инициировать судебное разбирательство в порядке, установленном законодательством Кыргызской Республики.</w:t>
      </w:r>
    </w:p>
    <w:p>
      <w:pPr>
        <w:spacing w:after="120"/>
        <w:ind w:firstLine="709"/>
        <w:jc w:val="both"/>
      </w:pPr>
      <w:r>
        <w:rPr>
          <w:rFonts w:ascii="Arial" w:cs="Arial" w:eastAsia="Arial" w:hAnsi="Arial"/>
          <w:sz w:val="24"/>
          <w:szCs w:val="24"/>
        </w:rPr>
        <w:t xml:space="preserve">34. После исполнения поручителем обязательств субъекта (частично или в полном объеме) к поручителю переходят все права кредитора и/или контрагента в объеме исполненных обязательств. При этом кредитор и/или контрагент обязаны в трехдневный срок со дня исполнения обязательств поручителем передать ему все документы, удостоверяющие право требования к субъекту-должнику. В случае несвоевременного предоставления указанных документов кредитор и/или контрагент несут ответственность в соответствии с условиями договора поручительства и гражданским законодательством Кыргызской Республики.</w:t>
      </w:r>
    </w:p>
    <w:p>
      <w:pPr>
        <w:spacing w:after="120"/>
        <w:ind w:firstLine="709"/>
        <w:jc w:val="both"/>
      </w:pPr>
      <w:r>
        <w:rPr>
          <w:rFonts w:ascii="Arial" w:cs="Arial" w:eastAsia="Arial" w:hAnsi="Arial"/>
          <w:sz w:val="24"/>
          <w:szCs w:val="24"/>
        </w:rPr>
        <w:t xml:space="preserve">Возврат средств, выплаченных поручителем в рамках исполнения обязательств по договору поручительства, осуществляется субъектом на условиях, аналогичных условиям кредитного договора (сроки, процентная ставка, неустойки и другие), и начисляется до полного погашения задолженности перед поручителем.</w:t>
      </w:r>
    </w:p>
    <w:p>
      <w:pPr>
        <w:spacing w:after="120"/>
        <w:ind w:firstLine="709"/>
        <w:jc w:val="both"/>
      </w:pPr>
      <w:r>
        <w:rPr>
          <w:rFonts w:ascii="Arial" w:cs="Arial" w:eastAsia="Arial" w:hAnsi="Arial"/>
          <w:sz w:val="24"/>
          <w:szCs w:val="24"/>
        </w:rPr>
        <w:t xml:space="preserve">Начисленные проценты, неустойки за счет выплаченных поручителем кредитору и/или контрагенту средств перечисляются на расчетный счет поручителя.</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pjslkyycumtfhyxcshhxc">
        <w:r>
          <w:rPr>
            <w:rFonts w:ascii="Arial" w:cs="Arial" w:eastAsia="Arial" w:hAnsi="Arial"/>
            <w:i/>
            <w:iCs/>
            <w:color w:val="1D4ED8"/>
            <w:sz w:val="24"/>
            <w:szCs w:val="24"/>
            <w:u w:val="single"/>
          </w:rPr>
          <w:t xml:space="preserve">10 июля 2026 года № 480</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35. Поручительство предоставляется в соответствии с требованиями гражданского законодательства Кыргызской Республики.</w:t>
      </w:r>
    </w:p>
    <w:p>
      <w:pPr>
        <w:spacing w:after="240" w:before="200"/>
        <w:jc w:val="center"/>
      </w:pPr>
      <w:r>
        <w:rPr>
          <w:rFonts w:ascii="Arial" w:cs="Arial" w:eastAsia="Arial" w:hAnsi="Arial"/>
          <w:b/>
          <w:bCs/>
          <w:sz w:val="32"/>
          <w:szCs w:val="32"/>
        </w:rPr>
        <w:t xml:space="preserve">Глава 4. Особенности условий предоставления поручительства за счет средств фонда развития регионов</w:t>
      </w:r>
    </w:p>
    <w:p>
      <w:pPr>
        <w:spacing w:after="120"/>
        <w:ind w:firstLine="567"/>
        <w:jc w:val="both"/>
      </w:pPr>
      <w:r>
        <w:rPr>
          <w:rFonts w:ascii="Arial" w:cs="Arial" w:eastAsia="Arial" w:hAnsi="Arial"/>
          <w:sz w:val="24"/>
          <w:szCs w:val="24"/>
        </w:rPr>
        <w:t xml:space="preserve">36. Поручительство предоставляется для покрытия части обязательств субъекта, не обеспеченных залогом по кредиту, в размере не более 50 процентов от стоимости проекта.</w:t>
      </w:r>
    </w:p>
    <w:p>
      <w:pPr>
        <w:spacing w:after="120"/>
        <w:ind w:firstLine="567"/>
        <w:jc w:val="both"/>
      </w:pPr>
      <w:r>
        <w:rPr>
          <w:rFonts w:ascii="Arial" w:cs="Arial" w:eastAsia="Arial" w:hAnsi="Arial"/>
          <w:sz w:val="24"/>
          <w:szCs w:val="24"/>
        </w:rPr>
        <w:t xml:space="preserve">37. Сумма экономического проекта для предоставления поручительства составляет от 30000000 (тридцать миллионов) до 250000000 (двести пятьдесят миллионов) сомов.</w:t>
      </w:r>
    </w:p>
    <w:p>
      <w:pPr>
        <w:spacing w:after="120"/>
        <w:ind w:firstLine="567"/>
        <w:jc w:val="both"/>
      </w:pPr>
      <w:r>
        <w:rPr>
          <w:rFonts w:ascii="Arial" w:cs="Arial" w:eastAsia="Arial" w:hAnsi="Arial"/>
          <w:sz w:val="24"/>
          <w:szCs w:val="24"/>
        </w:rPr>
        <w:t xml:space="preserve">38. Поручительство предоставляется субъектам, осуществляющим деятельность в регионах, городах и областях республики, за исключением городов Бишкек и Ош.</w:t>
      </w:r>
    </w:p>
    <w:p>
      <w:pPr>
        <w:spacing w:after="120"/>
        <w:ind w:firstLine="567"/>
        <w:jc w:val="both"/>
      </w:pPr>
      <w:r>
        <w:rPr>
          <w:rFonts w:ascii="Arial" w:cs="Arial" w:eastAsia="Arial" w:hAnsi="Arial"/>
          <w:sz w:val="24"/>
          <w:szCs w:val="24"/>
        </w:rPr>
        <w:t xml:space="preserve">39. Отбор субъектов для предоставления поручительства осуществляется Наблюдательным советом фонда развития регионов с последующим перенаправлением соответствующего заключения в уполномоченный государственный орган по экономическому прогнозированию для инициирования решения Кабинета Министров.</w:t>
      </w:r>
    </w:p>
    <w:p>
      <w:pPr>
        <w:spacing w:after="120"/>
        <w:ind w:firstLine="567"/>
        <w:jc w:val="both"/>
      </w:pPr>
      <w:r>
        <w:rPr>
          <w:rFonts w:ascii="Arial" w:cs="Arial" w:eastAsia="Arial" w:hAnsi="Arial"/>
          <w:sz w:val="24"/>
          <w:szCs w:val="24"/>
        </w:rPr>
        <w:t xml:space="preserve">40. Поручительство предоставляется в виде субсидиарной ответственности.</w:t>
      </w:r>
    </w:p>
    <w:p>
      <w:pPr>
        <w:spacing w:after="120"/>
        <w:ind w:firstLine="567"/>
        <w:jc w:val="both"/>
      </w:pPr>
      <w:r>
        <w:rPr>
          <w:rFonts w:ascii="Arial" w:cs="Arial" w:eastAsia="Arial" w:hAnsi="Arial"/>
          <w:sz w:val="24"/>
          <w:szCs w:val="24"/>
        </w:rPr>
        <w:t xml:space="preserve">41. Источниками формирования средств являются 20 процентов из утвержденных Наблюдательным советом фонда развития регионов средств на финансирование экономических проектов путем перечисления на увеличение уставного капитала поручителя, предназначенные для исполнения обязательств по поручительству.</w:t>
      </w:r>
    </w:p>
    <w:p>
      <w:pPr>
        <w:spacing w:after="120"/>
        <w:ind w:firstLine="567"/>
        <w:jc w:val="both"/>
      </w:pPr>
      <w:r>
        <w:rPr>
          <w:rFonts w:ascii="Arial" w:cs="Arial" w:eastAsia="Arial" w:hAnsi="Arial"/>
          <w:sz w:val="24"/>
          <w:szCs w:val="24"/>
        </w:rPr>
        <w:t xml:space="preserve">42. Обязательства поручителя по исполнению поручительства осуществляются за счет средств уставного капитала, предусмотренных на предоставление поручительства. При этом годовой объем обязательств не должен превышать 80 процентов от общего объема средств, предусмотренных на предоставление поручительства из фонда развития регионов.</w:t>
      </w:r>
    </w:p>
    <w:p>
      <w:pPr>
        <w:spacing w:after="120"/>
        <w:ind w:firstLine="567"/>
        <w:jc w:val="both"/>
      </w:pPr>
      <w:r>
        <w:rPr>
          <w:rFonts w:ascii="Arial" w:cs="Arial" w:eastAsia="Arial" w:hAnsi="Arial"/>
          <w:sz w:val="24"/>
          <w:szCs w:val="24"/>
        </w:rPr>
        <w:t xml:space="preserve">43. Поручительство не предоставляется по обязательствам субъектов, финансированных за счет средств фонда развития регионов.</w:t>
      </w:r>
    </w:p>
    <w:p>
      <w:pPr>
        <w:spacing w:after="240" w:before="200"/>
        <w:jc w:val="center"/>
      </w:pPr>
      <w:r>
        <w:rPr>
          <w:rFonts w:ascii="Arial" w:cs="Arial" w:eastAsia="Arial" w:hAnsi="Arial"/>
          <w:b/>
          <w:bCs/>
          <w:sz w:val="32"/>
          <w:szCs w:val="32"/>
        </w:rPr>
        <w:t xml:space="preserve">Глава 5. Прекращение предоставления поручительства</w:t>
      </w:r>
    </w:p>
    <w:p>
      <w:pPr>
        <w:spacing w:after="120"/>
        <w:ind w:firstLine="567"/>
        <w:jc w:val="both"/>
      </w:pPr>
      <w:r>
        <w:rPr>
          <w:rFonts w:ascii="Arial" w:cs="Arial" w:eastAsia="Arial" w:hAnsi="Arial"/>
          <w:sz w:val="24"/>
          <w:szCs w:val="24"/>
        </w:rPr>
        <w:t xml:space="preserve">44. Поручительство прекращается с прекращением обеспеченного им обязательства, а также в случае его изменения, влекущего увеличение ответственности или иные неблагоприятные последствия для поручителя, без согласия последнего.</w:t>
      </w:r>
    </w:p>
    <w:p>
      <w:pPr>
        <w:spacing w:after="120"/>
        <w:ind w:firstLine="567"/>
        <w:jc w:val="both"/>
      </w:pPr>
      <w:r>
        <w:rPr>
          <w:rFonts w:ascii="Arial" w:cs="Arial" w:eastAsia="Arial" w:hAnsi="Arial"/>
          <w:sz w:val="24"/>
          <w:szCs w:val="24"/>
        </w:rPr>
        <w:t xml:space="preserve">45. Поручительство прекращается с переводом на другое лицо долга по обеспеченному поручительством обязательству, если поручитель не дал кредитору и/или контрагенту согласия отвечать за нового должника.</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6dnfjzpsx6fxhh9hjxqo8">
        <w:r>
          <w:rPr>
            <w:rFonts w:ascii="Arial" w:cs="Arial" w:eastAsia="Arial" w:hAnsi="Arial"/>
            <w:i/>
            <w:iCs/>
            <w:color w:val="1D4ED8"/>
            <w:sz w:val="24"/>
            <w:szCs w:val="24"/>
            <w:u w:val="single"/>
          </w:rPr>
          <w:t xml:space="preserve">10 июля 2026 года № 480</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46. Поручительство прекращается, если по наступлении срока исполнения обеспеченного им обязательства кредитор и/или контрагентом отказался принять надлежащее исполнение, предложенное субъектом или поручителем.</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tq5tok6zwenmrolj9papb">
        <w:r>
          <w:rPr>
            <w:rFonts w:ascii="Arial" w:cs="Arial" w:eastAsia="Arial" w:hAnsi="Arial"/>
            <w:i/>
            <w:iCs/>
            <w:color w:val="1D4ED8"/>
            <w:sz w:val="24"/>
            <w:szCs w:val="24"/>
            <w:u w:val="single"/>
          </w:rPr>
          <w:t xml:space="preserve">10 июля 2026 года № 480</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47. Поручительство прекращается по истечении срока, на который оно дано, указанного в договоре поручительства. Если такой срок не установлен, оно прекращается, если в течение одного года со дня наступления срока исполнения обязательства, обеспеченного поручительством, кредитор и/или контрагентом не предъявит требования к поручителю. Когда срок исполнения основного обязательства не указан и не может быть определен или определен моментом востребования, поручительство прекращается, если кредитори/или контрагентом не предъявит требования к поручителю в течение двух лет со дня заключения договора поручительства.</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lfhsmp5e0hhmm8ndinna0">
        <w:r>
          <w:rPr>
            <w:rFonts w:ascii="Arial" w:cs="Arial" w:eastAsia="Arial" w:hAnsi="Arial"/>
            <w:i/>
            <w:iCs/>
            <w:color w:val="1D4ED8"/>
            <w:sz w:val="24"/>
            <w:szCs w:val="24"/>
            <w:u w:val="single"/>
          </w:rPr>
          <w:t xml:space="preserve">10 июля 2026 года № 480</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48. Поручительство прекращается, если при анализе платежеспособности и принятии решения о предоставлении кредита кредитор скрыл существенные факты или представил заведомо недостоверные сведения, что в свою очередь привело к неплатежеспособности заемщика.</w:t>
      </w:r>
    </w:p>
    <w:p>
      <w:pPr>
        <w:spacing w:after="240" w:before="200"/>
        <w:jc w:val="center"/>
      </w:pPr>
      <w:r>
        <w:rPr>
          <w:rFonts w:ascii="Arial" w:cs="Arial" w:eastAsia="Arial" w:hAnsi="Arial"/>
          <w:b/>
          <w:bCs/>
          <w:sz w:val="32"/>
          <w:szCs w:val="32"/>
        </w:rPr>
        <w:t xml:space="preserve">Глава 6. Мониторинг деятельности субъекта в рамках предоставленного поручительства</w:t>
      </w:r>
    </w:p>
    <w:p>
      <w:pPr>
        <w:spacing w:after="120"/>
        <w:ind w:firstLine="567"/>
        <w:jc w:val="both"/>
      </w:pPr>
      <w:r>
        <w:rPr>
          <w:rFonts w:ascii="Arial" w:cs="Arial" w:eastAsia="Arial" w:hAnsi="Arial"/>
          <w:sz w:val="24"/>
          <w:szCs w:val="24"/>
        </w:rPr>
        <w:t xml:space="preserve">49. Поручитель вправе проводить мониторинг деятельности субъекта в рамках заключенного договора поручительства, в том числе с привлечением независимых экспертов и специалистов, имеющих опыт профессиональной деятельности в соответствующей области, в том числе за счет средств разовой комиссии.</w:t>
      </w:r>
    </w:p>
    <w:p>
      <w:pPr>
        <w:spacing w:after="120"/>
        <w:ind w:firstLine="567"/>
        <w:jc w:val="both"/>
      </w:pPr>
      <w:r>
        <w:rPr>
          <w:rFonts w:ascii="Arial" w:cs="Arial" w:eastAsia="Arial" w:hAnsi="Arial"/>
          <w:sz w:val="24"/>
          <w:szCs w:val="24"/>
        </w:rPr>
        <w:t xml:space="preserve">50. Субъект обязан по первому требованию поручителя предоставлять всю запрашиваемую информацию, необходимую для качественного и объективного анализа его деятельности.</w:t>
      </w:r>
    </w:p>
    <w:p>
      <w:pPr>
        <w:spacing w:after="240" w:before="200"/>
        <w:jc w:val="center"/>
      </w:pPr>
      <w:r>
        <w:rPr>
          <w:rFonts w:ascii="Arial" w:cs="Arial" w:eastAsia="Arial" w:hAnsi="Arial"/>
          <w:b/>
          <w:bCs/>
          <w:sz w:val="32"/>
          <w:szCs w:val="32"/>
        </w:rPr>
        <w:t xml:space="preserve">Глава 7. Источники формирования средств для предоставления поручительства</w:t>
      </w:r>
    </w:p>
    <w:p>
      <w:pPr>
        <w:spacing w:after="120"/>
        <w:ind w:firstLine="567"/>
        <w:jc w:val="both"/>
      </w:pPr>
      <w:r>
        <w:rPr>
          <w:rFonts w:ascii="Arial" w:cs="Arial" w:eastAsia="Arial" w:hAnsi="Arial"/>
          <w:sz w:val="24"/>
          <w:szCs w:val="24"/>
        </w:rPr>
        <w:t xml:space="preserve">51. Источниками формирования средств для предоставления поручительства являются:</w:t>
      </w:r>
    </w:p>
    <w:p>
      <w:pPr>
        <w:spacing w:after="120"/>
        <w:ind w:firstLine="567"/>
        <w:jc w:val="both"/>
      </w:pPr>
      <w:r>
        <w:rPr>
          <w:rFonts w:ascii="Arial" w:cs="Arial" w:eastAsia="Arial" w:hAnsi="Arial"/>
          <w:sz w:val="24"/>
          <w:szCs w:val="24"/>
        </w:rPr>
        <w:t xml:space="preserve">1) средства, которые уполномоченный государственный орган ежегодно предусматривает в республиканском бюджете для реализации механизма предоставления поручительства субъектам на соответствующий год в размере не более 1 процента от объема совокупных расходов (без учета средств предоставления поручительства) путем перечисления на увеличение уставного капитала поручителя, предназначенные для исполнения обязательств по поручительству;</w:t>
      </w:r>
    </w:p>
    <w:p>
      <w:pPr>
        <w:spacing w:after="120"/>
        <w:ind w:firstLine="567"/>
        <w:jc w:val="both"/>
      </w:pPr>
      <w:r>
        <w:rPr>
          <w:rFonts w:ascii="Arial" w:cs="Arial" w:eastAsia="Arial" w:hAnsi="Arial"/>
          <w:sz w:val="24"/>
          <w:szCs w:val="24"/>
        </w:rPr>
        <w:t xml:space="preserve">2) средства, аккумулируемые на накопительных счетах центрального казначейства Министерства финансов Кыргызской Республики, открытых в Национальном банке Кыргызской Республики, распоряжение которыми не требует согласия доноров и/или с согласия доноров;</w:t>
      </w:r>
    </w:p>
    <w:p>
      <w:pPr>
        <w:spacing w:after="120"/>
        <w:ind w:firstLine="567"/>
        <w:jc w:val="both"/>
      </w:pPr>
      <w:r>
        <w:rPr>
          <w:rFonts w:ascii="Arial" w:cs="Arial" w:eastAsia="Arial" w:hAnsi="Arial"/>
          <w:sz w:val="24"/>
          <w:szCs w:val="24"/>
        </w:rPr>
        <w:t xml:space="preserve">3) средства уставного капитала поручителя, предназначенные для предоставления поручительства;</w:t>
      </w:r>
    </w:p>
    <w:p>
      <w:pPr>
        <w:spacing w:after="120"/>
        <w:ind w:firstLine="567"/>
        <w:jc w:val="both"/>
      </w:pPr>
      <w:r>
        <w:rPr>
          <w:rFonts w:ascii="Arial" w:cs="Arial" w:eastAsia="Arial" w:hAnsi="Arial"/>
          <w:sz w:val="24"/>
          <w:szCs w:val="24"/>
        </w:rPr>
        <w:t xml:space="preserve">4) другие источники финансирования, привлечение которых не противоречит законодательству Кыргызской Республики.</w:t>
      </w:r>
    </w:p>
    <w:p>
      <w:pPr>
        <w:spacing w:after="240" w:before="200"/>
        <w:jc w:val="center"/>
      </w:pPr>
      <w:r>
        <w:rPr>
          <w:rFonts w:ascii="Arial" w:cs="Arial" w:eastAsia="Arial" w:hAnsi="Arial"/>
          <w:b/>
          <w:bCs/>
          <w:sz w:val="32"/>
          <w:szCs w:val="32"/>
        </w:rPr>
        <w:t xml:space="preserve">Глава 8. Порядок формирования средств для предоставления поручительства</w:t>
      </w:r>
    </w:p>
    <w:p>
      <w:pPr>
        <w:spacing w:after="120"/>
        <w:ind w:firstLine="567"/>
        <w:jc w:val="both"/>
      </w:pPr>
      <w:r>
        <w:rPr>
          <w:rFonts w:ascii="Arial" w:cs="Arial" w:eastAsia="Arial" w:hAnsi="Arial"/>
          <w:sz w:val="24"/>
          <w:szCs w:val="24"/>
        </w:rPr>
        <w:t xml:space="preserve">52. Средства уставного капитала, предусмотренные на предоставление поручительства, размещаются:</w:t>
      </w:r>
    </w:p>
    <w:p>
      <w:pPr>
        <w:spacing w:after="120"/>
        <w:ind w:firstLine="567"/>
        <w:jc w:val="both"/>
      </w:pPr>
      <w:r>
        <w:rPr>
          <w:rFonts w:ascii="Arial" w:cs="Arial" w:eastAsia="Arial" w:hAnsi="Arial"/>
          <w:sz w:val="24"/>
          <w:szCs w:val="24"/>
        </w:rPr>
        <w:t xml:space="preserve">1) на депозитных счетах, открытых в коммерческих банках;</w:t>
      </w:r>
    </w:p>
    <w:p>
      <w:pPr>
        <w:spacing w:after="120"/>
        <w:ind w:firstLine="567"/>
        <w:jc w:val="both"/>
      </w:pPr>
      <w:r>
        <w:rPr>
          <w:rFonts w:ascii="Arial" w:cs="Arial" w:eastAsia="Arial" w:hAnsi="Arial"/>
          <w:sz w:val="24"/>
          <w:szCs w:val="24"/>
        </w:rPr>
        <w:t xml:space="preserve">2) в государственных ценных бумагах;</w:t>
      </w:r>
    </w:p>
    <w:p>
      <w:pPr>
        <w:spacing w:after="120"/>
        <w:ind w:firstLine="567"/>
        <w:jc w:val="both"/>
      </w:pPr>
      <w:r>
        <w:rPr>
          <w:rFonts w:ascii="Arial" w:cs="Arial" w:eastAsia="Arial" w:hAnsi="Arial"/>
          <w:sz w:val="24"/>
          <w:szCs w:val="24"/>
        </w:rPr>
        <w:t xml:space="preserve">3) в драгоценных металлах;</w:t>
      </w:r>
    </w:p>
    <w:p>
      <w:pPr>
        <w:spacing w:after="120"/>
        <w:ind w:firstLine="567"/>
        <w:jc w:val="both"/>
      </w:pPr>
      <w:r>
        <w:rPr>
          <w:rFonts w:ascii="Arial" w:cs="Arial" w:eastAsia="Arial" w:hAnsi="Arial"/>
          <w:sz w:val="24"/>
          <w:szCs w:val="24"/>
        </w:rPr>
        <w:t xml:space="preserve">4) в других финансовых инструментах согласно уставной деятельности поручителя.</w:t>
      </w:r>
    </w:p>
    <w:p>
      <w:pPr>
        <w:spacing w:after="360"/>
        <w:jc w:val="center"/>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wetivn6a6mgxb6aiyxgws" Type="http://schemas.openxmlformats.org/officeDocument/2006/relationships/hyperlink" Target="http://kodeks.duckdns.org/document/230031529" TargetMode="External"/><Relationship Id="rIdloro8ulwssqxeynspwa1i" Type="http://schemas.openxmlformats.org/officeDocument/2006/relationships/hyperlink" Target="http://kodeks.duckdns.org/document/230038979" TargetMode="External"/><Relationship Id="rIdbrz3fz2wtdwzys5-gmw6b" Type="http://schemas.openxmlformats.org/officeDocument/2006/relationships/hyperlink" Target="http://kodeks.duckdns.org/document/230046883" TargetMode="External"/><Relationship Id="rIdy4pmwdwy5lst1piclbuki" Type="http://schemas.openxmlformats.org/officeDocument/2006/relationships/hyperlink" Target="http://kodeks.duckdns.org/document/230048170" TargetMode="External"/><Relationship Id="rIdrkg_-bnihdplxktkjbeii" Type="http://schemas.openxmlformats.org/officeDocument/2006/relationships/hyperlink" Target="http://kodeks.duckdns.org/document/230048991" TargetMode="External"/><Relationship Id="rIdrnsezp01e-rouvcumwp4t" Type="http://schemas.openxmlformats.org/officeDocument/2006/relationships/hyperlink" Target="http://kodeks.duckdns.org/document/230046883" TargetMode="External"/><Relationship Id="rIdmdn2ust079f8doymnz_hc" Type="http://schemas.openxmlformats.org/officeDocument/2006/relationships/hyperlink" Target="http://kodeks.duckdns.org/document/230048991" TargetMode="External"/><Relationship Id="rIdi_gzih2rzofnv2gc2uc_j" Type="http://schemas.openxmlformats.org/officeDocument/2006/relationships/hyperlink" Target="http://kodeks.duckdns.org/document/230046883" TargetMode="External"/><Relationship Id="rId-a2m1yxqmyhh6vv_oniec" Type="http://schemas.openxmlformats.org/officeDocument/2006/relationships/hyperlink" Target="http://kodeks.duckdns.org/document/230048991" TargetMode="External"/><Relationship Id="rIdd4dl88rtgzm9iggethsmm" Type="http://schemas.openxmlformats.org/officeDocument/2006/relationships/hyperlink" Target="http://kodeks.duckdns.org/document/230046883" TargetMode="External"/><Relationship Id="rIdgpvlnunzzqydqdbjtvtts" Type="http://schemas.openxmlformats.org/officeDocument/2006/relationships/hyperlink" Target="http://kodeks.duckdns.org/document/230048991" TargetMode="External"/><Relationship Id="rIdmxy3sv3bxpo5nvu6qqkdo" Type="http://schemas.openxmlformats.org/officeDocument/2006/relationships/hyperlink" Target="http://kodeks.duckdns.org/document/230046883" TargetMode="External"/><Relationship Id="rIdfwlkp490x-ghrpmaaaubq" Type="http://schemas.openxmlformats.org/officeDocument/2006/relationships/hyperlink" Target="http://kodeks.duckdns.org/document/230046883" TargetMode="External"/><Relationship Id="rIdv36kzjmpt_5toduqzz6dm" Type="http://schemas.openxmlformats.org/officeDocument/2006/relationships/hyperlink" Target="http://kodeks.duckdns.org/document/230048991" TargetMode="External"/><Relationship Id="rIdxk1tn_8j93gbxgnyxo5ae" Type="http://schemas.openxmlformats.org/officeDocument/2006/relationships/hyperlink" Target="http://kodeks.duckdns.org/document/230046883" TargetMode="External"/><Relationship Id="rIdvbxr6cl0ys5tgtqfsafrk" Type="http://schemas.openxmlformats.org/officeDocument/2006/relationships/hyperlink" Target="http://kodeks.duckdns.org/document/230046883" TargetMode="External"/><Relationship Id="rIdir4twyyaovnnsdwaqztvb" Type="http://schemas.openxmlformats.org/officeDocument/2006/relationships/hyperlink" Target="http://kodeks.duckdns.org/document/230046883" TargetMode="External"/><Relationship Id="rIdwzywia-osfwqac35do1ww" Type="http://schemas.openxmlformats.org/officeDocument/2006/relationships/hyperlink" Target="http://kodeks.duckdns.org/document/230046883" TargetMode="External"/><Relationship Id="rIdc7y1_ud5a97v8kb71stii" Type="http://schemas.openxmlformats.org/officeDocument/2006/relationships/hyperlink" Target="http://kodeks.duckdns.org/document/230048991" TargetMode="External"/><Relationship Id="rIdxddwkfnfrgx8xrps1bgwl" Type="http://schemas.openxmlformats.org/officeDocument/2006/relationships/hyperlink" Target="http://kodeks.duckdns.org/document/230046883" TargetMode="External"/><Relationship Id="rId3kgwhhbajn61c1tgc1edy" Type="http://schemas.openxmlformats.org/officeDocument/2006/relationships/hyperlink" Target="http://kodeks.duckdns.org/document/230048991" TargetMode="External"/><Relationship Id="rIdbxgl-avawrnfoycuo4lmz" Type="http://schemas.openxmlformats.org/officeDocument/2006/relationships/hyperlink" Target="http://kodeks.duckdns.org/document/230048991" TargetMode="External"/><Relationship Id="rIdwbz27miovgnzxbkomjp8s" Type="http://schemas.openxmlformats.org/officeDocument/2006/relationships/hyperlink" Target="http://kodeks.duckdns.org/document/230046883" TargetMode="External"/><Relationship Id="rId7h9uyqedsgvaai4peott9" Type="http://schemas.openxmlformats.org/officeDocument/2006/relationships/hyperlink" Target="http://kodeks.duckdns.org/document/230048991" TargetMode="External"/><Relationship Id="rIds2yal1vyfhglxb-w_jkth" Type="http://schemas.openxmlformats.org/officeDocument/2006/relationships/hyperlink" Target="http://kodeks.duckdns.org/document/230048991" TargetMode="External"/><Relationship Id="rIdlbivx4wkf6pmxzy3d-tbz" Type="http://schemas.openxmlformats.org/officeDocument/2006/relationships/hyperlink" Target="http://kodeks.duckdns.org/document/230046883" TargetMode="External"/><Relationship Id="rId6fudsyghpmf8xxkwpzkmg" Type="http://schemas.openxmlformats.org/officeDocument/2006/relationships/hyperlink" Target="http://kodeks.duckdns.org/document/230046883" TargetMode="External"/><Relationship Id="rIdmeazc3dycurwcsoa2khaz" Type="http://schemas.openxmlformats.org/officeDocument/2006/relationships/hyperlink" Target="http://kodeks.duckdns.org/document/230048991" TargetMode="External"/><Relationship Id="rIddmk7ecand4jpfsuorrscj" Type="http://schemas.openxmlformats.org/officeDocument/2006/relationships/hyperlink" Target="http://kodeks.duckdns.org/document/230046883" TargetMode="External"/><Relationship Id="rId4383pq15tupr2cvua0c0d" Type="http://schemas.openxmlformats.org/officeDocument/2006/relationships/hyperlink" Target="http://kodeks.duckdns.org/document/230046883" TargetMode="External"/><Relationship Id="rIdchoczrwjdze73albpo8wd" Type="http://schemas.openxmlformats.org/officeDocument/2006/relationships/hyperlink" Target="http://kodeks.duckdns.org/document/230046883" TargetMode="External"/><Relationship Id="rId_z-nasfnn3pghrsx6zkd6" Type="http://schemas.openxmlformats.org/officeDocument/2006/relationships/hyperlink" Target="http://kodeks.duckdns.org/document/230048170" TargetMode="External"/><Relationship Id="rIdd_jjvu6aeqr_js9w8y7wb" Type="http://schemas.openxmlformats.org/officeDocument/2006/relationships/hyperlink" Target="http://kodeks.duckdns.org/document/230048991" TargetMode="External"/><Relationship Id="rIdy3lnwsx2xhavq4vkwlgqf" Type="http://schemas.openxmlformats.org/officeDocument/2006/relationships/hyperlink" Target="http://kodeks.duckdns.org/document/230048991" TargetMode="External"/><Relationship Id="rIdfqicxmorfanp7iptv2trf" Type="http://schemas.openxmlformats.org/officeDocument/2006/relationships/hyperlink" Target="http://kodeks.duckdns.org/document/230048991" TargetMode="External"/><Relationship Id="rIdmbk1c-ykchv9mcwgvjg9f" Type="http://schemas.openxmlformats.org/officeDocument/2006/relationships/hyperlink" Target="http://kodeks.duckdns.org/document/230046883" TargetMode="External"/><Relationship Id="rIdrd_axcaqvn3lyf5sr4w4e" Type="http://schemas.openxmlformats.org/officeDocument/2006/relationships/hyperlink" Target="http://kodeks.duckdns.org/document/230048991" TargetMode="External"/><Relationship Id="rIdn1s4qdzsqlyfo7stxdjex" Type="http://schemas.openxmlformats.org/officeDocument/2006/relationships/hyperlink" Target="http://kodeks.duckdns.org/document/230048991" TargetMode="External"/><Relationship Id="rId-hv3m58g4ws3a7tyqrrte" Type="http://schemas.openxmlformats.org/officeDocument/2006/relationships/hyperlink" Target="http://kodeks.duckdns.org/document/230046883" TargetMode="External"/><Relationship Id="rIdhlxnos0cg_vy84c1uhobb" Type="http://schemas.openxmlformats.org/officeDocument/2006/relationships/hyperlink" Target="http://kodeks.duckdns.org/document/230046883" TargetMode="External"/><Relationship Id="rIdk-ylnmpryh3sgbgu53n2q" Type="http://schemas.openxmlformats.org/officeDocument/2006/relationships/hyperlink" Target="http://kodeks.duckdns.org/document/230048991" TargetMode="External"/><Relationship Id="rIdr_mhaeg_d0_tb-a9fjfbn" Type="http://schemas.openxmlformats.org/officeDocument/2006/relationships/hyperlink" Target="http://kodeks.duckdns.org/document/230046883" TargetMode="External"/><Relationship Id="rIdbb0_14ic7wsuz6i9kbbwk" Type="http://schemas.openxmlformats.org/officeDocument/2006/relationships/hyperlink" Target="http://kodeks.duckdns.org/document/230046883" TargetMode="External"/><Relationship Id="rIdqddzwzwmdp-fvxbnaqbxo" Type="http://schemas.openxmlformats.org/officeDocument/2006/relationships/hyperlink" Target="http://kodeks.duckdns.org/document/230048991" TargetMode="External"/><Relationship Id="rIdqliojfl7xt2dkfuds0wph" Type="http://schemas.openxmlformats.org/officeDocument/2006/relationships/hyperlink" Target="http://kodeks.duckdns.org/document/230048991" TargetMode="External"/><Relationship Id="rId43twa_knrojrsnwjm-rub" Type="http://schemas.openxmlformats.org/officeDocument/2006/relationships/hyperlink" Target="http://kodeks.duckdns.org/document/230048991" TargetMode="External"/><Relationship Id="rId7s96eub7jrde2hfaxbllv" Type="http://schemas.openxmlformats.org/officeDocument/2006/relationships/hyperlink" Target="http://kodeks.duckdns.org/document/230048991" TargetMode="External"/><Relationship Id="rIdpjslkyycumtfhyxcshhxc" Type="http://schemas.openxmlformats.org/officeDocument/2006/relationships/hyperlink" Target="http://kodeks.duckdns.org/document/230048991" TargetMode="External"/><Relationship Id="rId6dnfjzpsx6fxhh9hjxqo8" Type="http://schemas.openxmlformats.org/officeDocument/2006/relationships/hyperlink" Target="http://kodeks.duckdns.org/document/230048991" TargetMode="External"/><Relationship Id="rIdtq5tok6zwenmrolj9papb" Type="http://schemas.openxmlformats.org/officeDocument/2006/relationships/hyperlink" Target="http://kodeks.duckdns.org/document/230048991" TargetMode="External"/><Relationship Id="rIdlfhsmp5e0hhmm8ndinna0" Type="http://schemas.openxmlformats.org/officeDocument/2006/relationships/hyperlink" Target="http://kodeks.duckdns.org/document/230048991" TargetMode="External"/><Relationship Id="rId7" Type="http://schemas.openxmlformats.org/officeDocument/2006/relationships/image" Target="media/93bec1c1538034512fe33c1434ae0ea86b639d33.png"/><Relationship Id="rId5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2026-09-22T23:44:58.603Z</dcterms:created>
  <dcterms:modified xsi:type="dcterms:W3CDTF">2026-09-22T23:44:58.603Z</dcterms:modified>
</cp:coreProperties>
</file>

<file path=docProps/custom.xml><?xml version="1.0" encoding="utf-8"?>
<Properties xmlns="http://schemas.openxmlformats.org/officeDocument/2006/custom-properties" xmlns:vt="http://schemas.openxmlformats.org/officeDocument/2006/docPropsVTypes"/>
</file>