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сентября 2025 года № 612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торговых представительствах Кыргызской Республики при Министерстве экономики и коммерции Кыргызской Республики в иностранных государствах» от 16 декабря 2022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 обеспечения</w:t>
      </w:r>
      <w:r>
        <w:rPr>
          <w:rFonts w:ascii="Arial" w:cs="Arial" w:eastAsia="Arial" w:hAnsi="Arial"/>
          <w:sz w:val="24"/>
          <w:szCs w:val="24"/>
        </w:rPr>
        <w:t xml:space="preserve"> эффективно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функционирования торговых представительств Кыргызской Республики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иностранных государствах, а также упорядочения административных и финансовых вопросов,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внешнеторговой деятельности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9liltgxni3fx61s2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торговых представительствах Кыргызской Республики при Министерстве экономики и коммерции Кыргызской Республики в иностранных государствах» от 16 декабря 2022 года № 702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 </w:t>
      </w:r>
      <w:r>
        <w:rPr>
          <w:rFonts w:ascii="Arial" w:cs="Arial" w:eastAsia="Arial" w:hAnsi="Arial"/>
          <w:sz w:val="24"/>
          <w:szCs w:val="24"/>
        </w:rPr>
        <w:t xml:space="preserve">торговым представительствам Кыргызской Республики при Министерстве экономики и коммерции Кыргызской Республики в иностранных государствах арендовать офисные помещения в стране пребывания по согласованию с Министерством экономики и коммерции Кыргызской Республики.»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8 дополнить подпункт</w:t>
      </w:r>
      <w:r>
        <w:rPr>
          <w:rFonts w:ascii="Arial" w:cs="Arial" w:eastAsia="Arial" w:hAnsi="Arial"/>
          <w:sz w:val="24"/>
          <w:szCs w:val="24"/>
        </w:rPr>
        <w:t xml:space="preserve">ом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обеспечить выплату ежемесячной арендной платы за офисное помещение торгового представительства Кыргызской Республики при Министерстве экономики и коммерции Кыргызской Республики в Турецкой Республике с сентября</w:t>
      </w:r>
      <w:r>
        <w:rPr>
          <w:rFonts w:ascii="Arial" w:cs="Arial" w:eastAsia="Arial" w:hAnsi="Arial"/>
          <w:sz w:val="24"/>
          <w:szCs w:val="24"/>
        </w:rPr>
        <w:t xml:space="preserve">2023 года в пределах утвержденных бюджетных средств на соответствующий год.»;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2qmjdas1dsd8prum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8 дополнить абзацем четырнадцатым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деятельности торговых павильонов/домов, находящихся в государственной собственности в странах пребывания, и осуществление контроля по мере необходимости за их функционированием.»;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первый пункта 30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При заключении контракта торговые представительства по договоренности с субъектами внешнеэкономической деятельности могут устанавливать от оказанного содействия следующий размер комиссии, который поступает на специальный счет:»;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пункты 31, 32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dn_2hvl7sbzdkwat8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dalil.kg/document/230031686</w:t>
      </w:r>
    </w:hyperlink>
  </w:p>
  <w:p>
    <w:pPr>
      <w:spacing w:after="0" w:before="40"/>
      <w:jc w:val="center"/>
    </w:pPr>
    <w:hyperlink w:history="1" r:id="rIdxoaxqg1kc9r1rle55dj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9liltgxni3fx61s2biv" Type="http://schemas.openxmlformats.org/officeDocument/2006/relationships/hyperlink" Target="https://dalil.kg/document/159686" TargetMode="External"/><Relationship Id="rIdhj2qmjdas1dsd8prumtwt" Type="http://schemas.openxmlformats.org/officeDocument/2006/relationships/hyperlink" Target="https://dalil.kg/document/159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dn_2hvl7sbzdkwat82g" Type="http://schemas.openxmlformats.org/officeDocument/2006/relationships/hyperlink" Target="https://dalil.kg/document/230031686" TargetMode="External"/><Relationship Id="rIdxoaxqg1kc9r1rle55dj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2026-09-25T11:01:12.906Z</dcterms:created>
  <dcterms:modified xsi:type="dcterms:W3CDTF">2026-09-25T11:01:12.906Z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