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города Бишкек,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«Земли сельскохозяйственного назначения»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многоэтажного жилого комплекса на территории Октябрьского района города Бишкек,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</w:t>
      </w:r>
      <w:hyperlink w:history="1" r:id="rIdkganouzdm0sfq9cqel5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gnqdb_kem4ithljce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«О Кабинете Министров Кыргызской Республики», учитывая постановление мэрии города Бишкек 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августа 2025 года № 20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, заключение</w:t>
      </w:r>
      <w:r>
        <w:rPr>
          <w:rFonts w:ascii="Arial" w:cs="Arial" w:eastAsia="Arial" w:hAnsi="Arial"/>
          <w:sz w:val="24"/>
          <w:szCs w:val="24"/>
        </w:rPr>
        <w:t xml:space="preserve"> земельной комиссии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от 29 июля 2025 года,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Перевести (трансформировать) земельный участок общей площадью 1,7 га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из них 1,5 га огород, 0,2 га пастбища,</w:t>
      </w:r>
      <w:r>
        <w:rPr>
          <w:rFonts w:ascii="Arial" w:cs="Arial" w:eastAsia="Arial" w:hAnsi="Arial"/>
          <w:sz w:val="24"/>
          <w:szCs w:val="24"/>
        </w:rPr>
        <w:t xml:space="preserve"> расположенный в контурах № </w:t>
      </w:r>
      <w:r>
        <w:rPr>
          <w:rFonts w:ascii="Arial" w:cs="Arial" w:eastAsia="Arial" w:hAnsi="Arial"/>
          <w:sz w:val="24"/>
          <w:szCs w:val="24"/>
        </w:rPr>
        <w:t xml:space="preserve">25, 27, 28</w:t>
      </w:r>
      <w:r>
        <w:rPr>
          <w:rFonts w:ascii="Arial" w:cs="Arial" w:eastAsia="Arial" w:hAnsi="Arial"/>
          <w:sz w:val="24"/>
          <w:szCs w:val="24"/>
        </w:rPr>
        <w:t xml:space="preserve"> Октябрьского района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находящийся в частной собственности </w:t>
      </w:r>
      <w:r>
        <w:rPr>
          <w:rFonts w:ascii="Arial" w:cs="Arial" w:eastAsia="Arial" w:hAnsi="Arial"/>
          <w:sz w:val="24"/>
          <w:szCs w:val="24"/>
        </w:rPr>
        <w:t xml:space="preserve">Б.С. Дикамбаева</w:t>
      </w:r>
      <w:r>
        <w:rPr>
          <w:rFonts w:ascii="Arial" w:cs="Arial" w:eastAsia="Arial" w:hAnsi="Arial"/>
          <w:sz w:val="24"/>
          <w:szCs w:val="24"/>
        </w:rPr>
        <w:t xml:space="preserve">, из категории «Земли сельскохозяйственного назначения» в категорию «Земли населенных пунктов».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вышеуказанного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в сфере градостроительства и архитектуры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социально-экономическое развитие за счет </w:t>
      </w:r>
      <w:r>
        <w:rPr>
          <w:rFonts w:ascii="Arial" w:cs="Arial" w:eastAsia="Arial" w:hAnsi="Arial"/>
          <w:sz w:val="24"/>
          <w:szCs w:val="24"/>
        </w:rPr>
        <w:t xml:space="preserve">собственных средств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объектов историко-культурного наследия в случае их выявления на указанном зем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льном участке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технических параметров автомобильных дорог, норм и требований Закона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постановления, в случае его неиспользования или использования не по целевому назначению;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восстановление площади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соблюдение нормативных актов в области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сентября 2025 года № 68 (3724).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vji1vbxfwpgije6ce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dalil.kg/document/230031861</w:t>
      </w:r>
    </w:hyperlink>
  </w:p>
  <w:p>
    <w:pPr>
      <w:spacing w:after="0" w:before="40"/>
      <w:jc w:val="center"/>
    </w:pPr>
    <w:hyperlink w:history="1" r:id="rIdawos339yrrze1jy7axf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anouzdm0sfq9cqel5_n" Type="http://schemas.openxmlformats.org/officeDocument/2006/relationships/hyperlink" Target="https://dalil.kg/document/112301#st_13" TargetMode="External"/><Relationship Id="rIdjbgnqdb_kem4ithljce_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vji1vbxfwpgije6cewb" Type="http://schemas.openxmlformats.org/officeDocument/2006/relationships/hyperlink" Target="https://dalil.kg/document/230031861" TargetMode="External"/><Relationship Id="rIdawos339yrrze1jy7axf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2026-09-27T07:44:07.127Z</dcterms:created>
  <dcterms:modified xsi:type="dcterms:W3CDTF">2026-09-27T07:44:07.128Z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