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574</w:t>
      </w:r>
    </w:p>
    <w:p>
      <w:pPr>
        <w:spacing w:after="20" w:before="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в рамках государственно-частного партнерства проекта «Модернизация и управление парком «Жениш» города Джалал-Абад»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режиме «проектной песочницы»</w:t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</w:t>
      </w:r>
      <w:r>
        <w:rPr>
          <w:rFonts w:ascii="Arial" w:cs="Arial" w:eastAsia="Arial" w:hAnsi="Arial"/>
          <w:sz w:val="24"/>
          <w:szCs w:val="24"/>
        </w:rPr>
        <w:t xml:space="preserve"> государственно-частного партнерства по </w:t>
      </w:r>
      <w:r>
        <w:rPr>
          <w:rFonts w:ascii="Arial" w:cs="Arial" w:eastAsia="Arial" w:hAnsi="Arial"/>
          <w:sz w:val="24"/>
          <w:szCs w:val="24"/>
        </w:rPr>
        <w:t xml:space="preserve">модернизации и управлению парком «Жениш» в городе Джалал-Абад в режиме «проектной песочницы», в соответствии со статьями </w:t>
      </w:r>
      <w:hyperlink w:history="1" r:id="rIdn0sno33bxreigmlxzl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uuwlvkzgqccnpfkx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статьями </w:t>
      </w:r>
      <w:hyperlink w:history="1" r:id="rIdy63zzgrkd3zvixsu33h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6-mrib8tfkngymp6mb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Одобрить реализацию в рамках государственно-частного партнерства проекта «Модернизация</w:t>
      </w:r>
      <w:r>
        <w:rPr>
          <w:rFonts w:ascii="Arial" w:cs="Arial" w:eastAsia="Arial" w:hAnsi="Arial"/>
          <w:sz w:val="24"/>
          <w:szCs w:val="24"/>
        </w:rPr>
        <w:t xml:space="preserve"> и управление </w:t>
      </w:r>
      <w:r>
        <w:rPr>
          <w:rFonts w:ascii="Arial" w:cs="Arial" w:eastAsia="Arial" w:hAnsi="Arial"/>
          <w:sz w:val="24"/>
          <w:szCs w:val="24"/>
        </w:rPr>
        <w:t xml:space="preserve">парком «Жениш» города Джалал-Абад» в режиме «</w:t>
      </w:r>
      <w:r>
        <w:rPr>
          <w:rFonts w:ascii="Arial" w:cs="Arial" w:eastAsia="Arial" w:hAnsi="Arial"/>
          <w:sz w:val="24"/>
          <w:szCs w:val="24"/>
        </w:rPr>
        <w:t xml:space="preserve">проектной песочницы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в лице общества с ограниченной ответственностью «Турсумамат».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детальная разработка вышеназванного проекта, включая финансовую часть, будет проводиться государственным и частным партнером после подписания соглашения, указанного в пункте 2 настоящего постановления.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</w:t>
      </w:r>
      <w:r>
        <w:rPr>
          <w:rFonts w:ascii="Arial" w:cs="Arial" w:eastAsia="Arial" w:hAnsi="Arial"/>
          <w:sz w:val="24"/>
          <w:szCs w:val="24"/>
        </w:rPr>
        <w:t xml:space="preserve"> постановление вступает в силу по истечении семи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qrrbzyq7fbr7z5jd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dalil.kg/document/230031894</w:t>
      </w:r>
    </w:hyperlink>
  </w:p>
  <w:p>
    <w:pPr>
      <w:spacing w:after="0" w:before="40"/>
      <w:jc w:val="center"/>
    </w:pPr>
    <w:hyperlink w:history="1" r:id="rId6gycmprzqia88djhky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sno33bxreigmlxzl0ay" Type="http://schemas.openxmlformats.org/officeDocument/2006/relationships/hyperlink" Target="https://dalil.kg/document/112275#st_5" TargetMode="External"/><Relationship Id="rId5ouuwlvkzgqccnpfkxioj" Type="http://schemas.openxmlformats.org/officeDocument/2006/relationships/hyperlink" Target="https://dalil.kg/document/112275#st_18" TargetMode="External"/><Relationship Id="rIdy63zzgrkd3zvixsu33hzn" Type="http://schemas.openxmlformats.org/officeDocument/2006/relationships/hyperlink" Target="https://dalil.kg/document/112301#st_13" TargetMode="External"/><Relationship Id="rId6-mrib8tfkngymp6mbbd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qrrbzyq7fbr7z5jdfji" Type="http://schemas.openxmlformats.org/officeDocument/2006/relationships/hyperlink" Target="https://dalil.kg/document/230031894" TargetMode="External"/><Relationship Id="rId6gycmprzqia88djhkyp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2026-09-27T07:31:12.546Z</dcterms:created>
  <dcterms:modified xsi:type="dcterms:W3CDTF">2026-09-27T07:31:12.546Z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