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 октября 2025 года № 634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в постановление Кабинета Министров
  Кыргызской Республики «О вопросах нотариальной деятельности» от 29 декабря 2023 года № 733</w:t>
      </w:r>
    </w:p>
    <w:p>
      <w:pPr>
        <w:spacing w:after="120"/>
        <w:ind w:firstLine="709"/>
        <w:jc w:val="both"/>
      </w:pPr>
      <w:r>
        <w:rPr>
          <w:rFonts w:ascii="Arial" w:cs="Arial" w:eastAsia="Arial" w:hAnsi="Arial"/>
          <w:sz w:val="24"/>
          <w:szCs w:val="24"/>
        </w:rPr>
        <w:t xml:space="preserve">В целях реализации </w:t>
      </w:r>
      <w:hyperlink w:history="1" r:id="rId27zjqbsrdyy-9bzij2xwb">
        <w:r>
          <w:rPr>
            <w:rFonts w:ascii="Arial" w:cs="Arial" w:eastAsia="Arial" w:hAnsi="Arial"/>
            <w:color w:val="1D4ED8"/>
            <w:sz w:val="24"/>
            <w:szCs w:val="24"/>
            <w:u w:val="single"/>
          </w:rPr>
          <w:t xml:space="preserve">главы 15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Закона Кыргызской Республики «О нотариате», в соответствии со статьями </w:t>
      </w:r>
      <w:hyperlink w:history="1" r:id="rId9eaotw_y2f6ehhkspklow">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faqgjvkwbxw7japar6drc">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Внести в </w:t>
      </w:r>
      <w:hyperlink w:history="1" r:id="rId8sxjyhnpfkpgwidwmqhh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нотариальной деятельности» от 29 декабря 2023 года № 733 следующие изменения:</w:t>
      </w:r>
    </w:p>
    <w:p>
      <w:pPr>
        <w:spacing w:after="120"/>
        <w:ind w:firstLine="709"/>
        <w:jc w:val="both"/>
      </w:pPr>
      <w:r>
        <w:rPr>
          <w:rFonts w:ascii="Arial" w:cs="Arial" w:eastAsia="Arial" w:hAnsi="Arial"/>
          <w:sz w:val="24"/>
          <w:szCs w:val="24"/>
        </w:rPr>
        <w:t xml:space="preserve">в </w:t>
      </w:r>
      <w:hyperlink w:history="1" r:id="rIdvqaazt8j3rurqwgyqqdk7">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нотариусами Кыргызской Республики, утвержденной вышеуказанным </w:t>
      </w:r>
      <w:hyperlink w:history="1" r:id="rIdciwhexmbeukmeojobfal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пункт 48 дополнить абзацем следующего содержания: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Нотариус вправе изучать представленные документы, чтобы убедиться в законности и целесообразности совершения нотариального действия, в течение двух рабочих дней после обращения заявителя.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пункт 56 дополнить абзацем следующего содержания:</w:t>
      </w:r>
    </w:p>
    <w:p>
      <w:pPr>
        <w:spacing w:after="120"/>
        <w:ind w:firstLine="709"/>
        <w:jc w:val="both"/>
      </w:pPr>
      <w:r>
        <w:rPr>
          <w:rFonts w:ascii="Arial" w:cs="Arial" w:eastAsia="Arial" w:hAnsi="Arial"/>
          <w:sz w:val="24"/>
          <w:szCs w:val="24"/>
        </w:rPr>
        <w:t xml:space="preserve">«Исправленный документ вносится в систему ЕИСН путем сканирования и прикрепляется в электронный реестр.»;</w:t>
      </w:r>
    </w:p>
    <w:p>
      <w:pPr>
        <w:spacing w:after="120"/>
        <w:ind w:firstLine="709"/>
        <w:jc w:val="both"/>
      </w:pPr>
      <w:r>
        <w:rPr>
          <w:rFonts w:ascii="Arial" w:cs="Arial" w:eastAsia="Arial" w:hAnsi="Arial"/>
          <w:sz w:val="24"/>
          <w:szCs w:val="24"/>
        </w:rPr>
        <w:t xml:space="preserve">– абзац первый пункта 76 изложить в следующей редакции:</w:t>
      </w:r>
    </w:p>
    <w:p>
      <w:pPr>
        <w:spacing w:after="120"/>
        <w:ind w:firstLine="709"/>
        <w:jc w:val="both"/>
      </w:pPr>
      <w:r>
        <w:rPr>
          <w:rFonts w:ascii="Arial" w:cs="Arial" w:eastAsia="Arial" w:hAnsi="Arial"/>
          <w:sz w:val="24"/>
          <w:szCs w:val="24"/>
        </w:rPr>
        <w:t xml:space="preserve">«76. В графе 1 реестра регистрации нотариальных действий на бумажном носителе вносится уникальный номер нотариального действия электронного реестра, который указывается в соответствующей удостоверительной надписи на документах.»;</w:t>
      </w:r>
    </w:p>
    <w:p>
      <w:pPr>
        <w:spacing w:after="120"/>
        <w:ind w:firstLine="709"/>
        <w:jc w:val="both"/>
      </w:pPr>
      <w:r>
        <w:rPr>
          <w:rFonts w:ascii="Arial" w:cs="Arial" w:eastAsia="Arial" w:hAnsi="Arial"/>
          <w:sz w:val="24"/>
          <w:szCs w:val="24"/>
        </w:rPr>
        <w:t xml:space="preserve">– абзац второй пункта 133 изложить в следующей редакции:</w:t>
      </w:r>
    </w:p>
    <w:p>
      <w:pPr>
        <w:spacing w:after="120"/>
        <w:ind w:firstLine="709"/>
        <w:jc w:val="both"/>
      </w:pPr>
      <w:r>
        <w:rPr>
          <w:rFonts w:ascii="Arial" w:cs="Arial" w:eastAsia="Arial" w:hAnsi="Arial"/>
          <w:sz w:val="24"/>
          <w:szCs w:val="24"/>
        </w:rPr>
        <w:t xml:space="preserve">«Помимо правоустанавливающего документа на отчуждаемое недвижимое имущество нотариус приобщает выписку из Единого государственного реестра прав на недвижимое имущество или государственного портала электронных услуг.»;</w:t>
      </w:r>
    </w:p>
    <w:p>
      <w:pPr>
        <w:spacing w:after="120"/>
        <w:ind w:firstLine="709"/>
        <w:jc w:val="both"/>
      </w:pPr>
      <w:r>
        <w:rPr>
          <w:rFonts w:ascii="Arial" w:cs="Arial" w:eastAsia="Arial" w:hAnsi="Arial"/>
          <w:sz w:val="24"/>
          <w:szCs w:val="24"/>
        </w:rPr>
        <w:t xml:space="preserve">– пункт 135 изложить в следующей редакции:</w:t>
      </w:r>
    </w:p>
    <w:p>
      <w:pPr>
        <w:spacing w:after="120"/>
        <w:ind w:firstLine="709"/>
        <w:jc w:val="both"/>
      </w:pPr>
      <w:r>
        <w:rPr>
          <w:rFonts w:ascii="Arial" w:cs="Arial" w:eastAsia="Arial" w:hAnsi="Arial"/>
          <w:sz w:val="24"/>
          <w:szCs w:val="24"/>
        </w:rPr>
        <w:t xml:space="preserve">«135. Если по данным технического паспорта соответствующего регистрационного органа фактический размер земельного участка превышает или уменьшает размер земельного участка, указанного в правоустанавливающем документе, нотариус указывает размер земельного участка по правоустанавливающим документам.»;</w:t>
      </w:r>
    </w:p>
    <w:p>
      <w:pPr>
        <w:spacing w:after="120"/>
        <w:ind w:firstLine="709"/>
        <w:jc w:val="both"/>
      </w:pPr>
      <w:r>
        <w:rPr>
          <w:rFonts w:ascii="Arial" w:cs="Arial" w:eastAsia="Arial" w:hAnsi="Arial"/>
          <w:sz w:val="24"/>
          <w:szCs w:val="24"/>
        </w:rPr>
        <w:t xml:space="preserve">– пункты 172, 173 изложить в следующей редакции:</w:t>
      </w:r>
    </w:p>
    <w:p>
      <w:pPr>
        <w:spacing w:after="120"/>
        <w:ind w:firstLine="709"/>
        <w:jc w:val="both"/>
      </w:pPr>
      <w:r>
        <w:rPr>
          <w:rFonts w:ascii="Arial" w:cs="Arial" w:eastAsia="Arial" w:hAnsi="Arial"/>
          <w:sz w:val="24"/>
          <w:szCs w:val="24"/>
        </w:rPr>
        <w:t xml:space="preserve">«172. При удостоверении соглашения о формировании уставного фонда или о передаче имущества в уставный капитал или собственность юридического лица нотариус должен выяснить наличие обязательств физического/юридического лица на передачу имущества юридическому лицу.</w:t>
      </w:r>
    </w:p>
    <w:p>
      <w:pPr>
        <w:spacing w:after="120"/>
        <w:ind w:firstLine="709"/>
        <w:jc w:val="both"/>
      </w:pPr>
      <w:r>
        <w:rPr>
          <w:rFonts w:ascii="Arial" w:cs="Arial" w:eastAsia="Arial" w:hAnsi="Arial"/>
          <w:sz w:val="24"/>
          <w:szCs w:val="24"/>
        </w:rPr>
        <w:t xml:space="preserve">Для этого нотариус истребует к материалам сделки:</w:t>
      </w:r>
    </w:p>
    <w:p>
      <w:pPr>
        <w:spacing w:after="120"/>
        <w:ind w:firstLine="709"/>
        <w:jc w:val="both"/>
      </w:pPr>
      <w:r>
        <w:rPr>
          <w:rFonts w:ascii="Arial" w:cs="Arial" w:eastAsia="Arial" w:hAnsi="Arial"/>
          <w:sz w:val="24"/>
          <w:szCs w:val="24"/>
        </w:rPr>
        <w:t xml:space="preserve">– протокол (решение) участников юридического лица о передаче имущества в собственность юридического лица, учредительные документы юридического лица или договор о порядке формирования и разделе совместного имущества крестьянских (фермерских) хозяйств, определяющие вид и иные условия передачи имущества;</w:t>
      </w:r>
    </w:p>
    <w:p>
      <w:pPr>
        <w:spacing w:after="120"/>
        <w:ind w:firstLine="709"/>
        <w:jc w:val="both"/>
      </w:pPr>
      <w:r>
        <w:rPr>
          <w:rFonts w:ascii="Arial" w:cs="Arial" w:eastAsia="Arial" w:hAnsi="Arial"/>
          <w:sz w:val="24"/>
          <w:szCs w:val="24"/>
        </w:rPr>
        <w:t xml:space="preserve">– если предметом соглашения является недвижимое имущество – выписку из Единого государственного реестра прав на недвижимое имущество;</w:t>
      </w:r>
    </w:p>
    <w:p>
      <w:pPr>
        <w:spacing w:after="120"/>
        <w:ind w:firstLine="709"/>
        <w:jc w:val="both"/>
      </w:pPr>
      <w:r>
        <w:rPr>
          <w:rFonts w:ascii="Arial" w:cs="Arial" w:eastAsia="Arial" w:hAnsi="Arial"/>
          <w:sz w:val="24"/>
          <w:szCs w:val="24"/>
        </w:rPr>
        <w:t xml:space="preserve">– правоудостоверяющие и/или правоустанавливающие</w:t>
      </w:r>
      <w:r>
        <w:rPr>
          <w:rFonts w:ascii="Arial" w:cs="Arial" w:eastAsia="Arial" w:hAnsi="Arial"/>
          <w:sz w:val="24"/>
          <w:szCs w:val="24"/>
        </w:rPr>
        <w:t xml:space="preserve">документы;</w:t>
      </w:r>
    </w:p>
    <w:p>
      <w:pPr>
        <w:spacing w:after="120"/>
        <w:ind w:firstLine="709"/>
        <w:jc w:val="both"/>
      </w:pPr>
      <w:r>
        <w:rPr>
          <w:rFonts w:ascii="Arial" w:cs="Arial" w:eastAsia="Arial" w:hAnsi="Arial"/>
          <w:sz w:val="24"/>
          <w:szCs w:val="24"/>
        </w:rPr>
        <w:t xml:space="preserve">– заявление о согласии супруга или иных сособственников (если имущество – объект общей собственности);</w:t>
      </w:r>
    </w:p>
    <w:p>
      <w:pPr>
        <w:spacing w:after="120"/>
        <w:ind w:firstLine="709"/>
        <w:jc w:val="both"/>
      </w:pPr>
      <w:r>
        <w:rPr>
          <w:rFonts w:ascii="Arial" w:cs="Arial" w:eastAsia="Arial" w:hAnsi="Arial"/>
          <w:sz w:val="24"/>
          <w:szCs w:val="24"/>
        </w:rPr>
        <w:t xml:space="preserve">– учредительные документы юридического лица.</w:t>
      </w:r>
    </w:p>
    <w:p>
      <w:pPr>
        <w:spacing w:after="120"/>
        <w:ind w:firstLine="709"/>
        <w:jc w:val="both"/>
      </w:pPr>
      <w:r>
        <w:rPr>
          <w:rFonts w:ascii="Arial" w:cs="Arial" w:eastAsia="Arial" w:hAnsi="Arial"/>
          <w:sz w:val="24"/>
          <w:szCs w:val="24"/>
        </w:rPr>
        <w:t xml:space="preserve">Нотариус проверяет правоспособность юридического лица, его представителя, уполномоченного принять соответствующее имущество.</w:t>
      </w:r>
    </w:p>
    <w:p>
      <w:pPr>
        <w:spacing w:after="120"/>
        <w:ind w:firstLine="709"/>
        <w:jc w:val="both"/>
      </w:pPr>
      <w:r>
        <w:rPr>
          <w:rFonts w:ascii="Arial" w:cs="Arial" w:eastAsia="Arial" w:hAnsi="Arial"/>
          <w:sz w:val="24"/>
          <w:szCs w:val="24"/>
        </w:rPr>
        <w:t xml:space="preserve">Соглашение о формировании уставного капитала или передаче имущества в собственность юридического лица является правоустанавливающим документом при обязательности регистрации имущества, один экземпляр передается для регистрационного органа.</w:t>
      </w:r>
    </w:p>
    <w:p>
      <w:pPr>
        <w:spacing w:after="120"/>
        <w:ind w:firstLine="709"/>
        <w:jc w:val="both"/>
      </w:pPr>
      <w:r>
        <w:rPr>
          <w:rFonts w:ascii="Arial" w:cs="Arial" w:eastAsia="Arial" w:hAnsi="Arial"/>
          <w:sz w:val="24"/>
          <w:szCs w:val="24"/>
        </w:rPr>
        <w:t xml:space="preserve">173. При продаже или уступке доли в уставном капитале одним из участников юридического лица нотариус проверяет соблюдение требований о праве преимущественной покупки доли в уставном капитале.</w:t>
      </w:r>
    </w:p>
    <w:p>
      <w:pPr>
        <w:spacing w:after="120"/>
        <w:ind w:firstLine="709"/>
        <w:jc w:val="both"/>
      </w:pPr>
      <w:r>
        <w:rPr>
          <w:rFonts w:ascii="Arial" w:cs="Arial" w:eastAsia="Arial" w:hAnsi="Arial"/>
          <w:sz w:val="24"/>
          <w:szCs w:val="24"/>
        </w:rPr>
        <w:t xml:space="preserve">Если стороны пришли к соглашению о продаже или уступке доли уставного капитала, то нотариус оформляет сделку в форме договора купли-продажи.</w:t>
      </w:r>
    </w:p>
    <w:p>
      <w:pPr>
        <w:spacing w:after="120"/>
        <w:ind w:firstLine="709"/>
        <w:jc w:val="both"/>
      </w:pPr>
      <w:r>
        <w:rPr>
          <w:rFonts w:ascii="Arial" w:cs="Arial" w:eastAsia="Arial" w:hAnsi="Arial"/>
          <w:sz w:val="24"/>
          <w:szCs w:val="24"/>
        </w:rPr>
        <w:t xml:space="preserve">Если стороны пришли к соглашению о безвозмездной передаче доли уставного капитала, то нотариус оформляет сделку в форме договора дарения.</w:t>
      </w:r>
    </w:p>
    <w:p>
      <w:pPr>
        <w:spacing w:after="120"/>
        <w:ind w:firstLine="709"/>
        <w:jc w:val="both"/>
      </w:pPr>
      <w:r>
        <w:rPr>
          <w:rFonts w:ascii="Arial" w:cs="Arial" w:eastAsia="Arial" w:hAnsi="Arial"/>
          <w:sz w:val="24"/>
          <w:szCs w:val="24"/>
        </w:rPr>
        <w:t xml:space="preserve">Нотариус проверяет правоспособность юридического лица, его представителя, полномочного отчуждать и/или принять соответствующее имущество.</w:t>
      </w:r>
    </w:p>
    <w:p>
      <w:pPr>
        <w:spacing w:after="120"/>
        <w:ind w:firstLine="709"/>
        <w:jc w:val="both"/>
      </w:pPr>
      <w:r>
        <w:rPr>
          <w:rFonts w:ascii="Arial" w:cs="Arial" w:eastAsia="Arial" w:hAnsi="Arial"/>
          <w:sz w:val="24"/>
          <w:szCs w:val="24"/>
        </w:rPr>
        <w:t xml:space="preserve">При оформлении одной из вышеуказанных сделок нотариусом истребуются следующие документы:</w:t>
      </w:r>
    </w:p>
    <w:p>
      <w:pPr>
        <w:spacing w:after="120"/>
        <w:ind w:firstLine="709"/>
        <w:jc w:val="both"/>
      </w:pPr>
      <w:r>
        <w:rPr>
          <w:rFonts w:ascii="Arial" w:cs="Arial" w:eastAsia="Arial" w:hAnsi="Arial"/>
          <w:sz w:val="24"/>
          <w:szCs w:val="24"/>
        </w:rPr>
        <w:t xml:space="preserve">– учредительный договор (или копия);</w:t>
      </w:r>
    </w:p>
    <w:p>
      <w:pPr>
        <w:spacing w:after="120"/>
        <w:ind w:firstLine="709"/>
        <w:jc w:val="both"/>
      </w:pPr>
      <w:r>
        <w:rPr>
          <w:rFonts w:ascii="Arial" w:cs="Arial" w:eastAsia="Arial" w:hAnsi="Arial"/>
          <w:sz w:val="24"/>
          <w:szCs w:val="24"/>
        </w:rPr>
        <w:t xml:space="preserve">– устав общества, если участником является юридическое лицо;</w:t>
      </w:r>
    </w:p>
    <w:p>
      <w:pPr>
        <w:spacing w:after="120"/>
        <w:ind w:firstLine="709"/>
        <w:jc w:val="both"/>
      </w:pPr>
      <w:r>
        <w:rPr>
          <w:rFonts w:ascii="Arial" w:cs="Arial" w:eastAsia="Arial" w:hAnsi="Arial"/>
          <w:sz w:val="24"/>
          <w:szCs w:val="24"/>
        </w:rPr>
        <w:t xml:space="preserve">– документ, подтверждающий принадлежность уставного капитала физическому или юридическому лицу;</w:t>
      </w:r>
    </w:p>
    <w:p>
      <w:pPr>
        <w:spacing w:after="120"/>
        <w:ind w:firstLine="709"/>
        <w:jc w:val="both"/>
      </w:pPr>
      <w:r>
        <w:rPr>
          <w:rFonts w:ascii="Arial" w:cs="Arial" w:eastAsia="Arial" w:hAnsi="Arial"/>
          <w:sz w:val="24"/>
          <w:szCs w:val="24"/>
        </w:rPr>
        <w:t xml:space="preserve">– решение (протокол, выписка из протокола), если одним из участников является юридическое лицо;</w:t>
      </w:r>
    </w:p>
    <w:p>
      <w:pPr>
        <w:spacing w:after="120"/>
        <w:ind w:firstLine="709"/>
        <w:jc w:val="both"/>
      </w:pPr>
      <w:r>
        <w:rPr>
          <w:rFonts w:ascii="Arial" w:cs="Arial" w:eastAsia="Arial" w:hAnsi="Arial"/>
          <w:sz w:val="24"/>
          <w:szCs w:val="24"/>
        </w:rPr>
        <w:t xml:space="preserve">– нотариально засвидетельствованное согласие супруга на отчуждение доли уставного капитала;</w:t>
      </w:r>
    </w:p>
    <w:p>
      <w:pPr>
        <w:spacing w:after="120"/>
        <w:ind w:firstLine="709"/>
        <w:jc w:val="both"/>
      </w:pPr>
      <w:r>
        <w:rPr>
          <w:rFonts w:ascii="Arial" w:cs="Arial" w:eastAsia="Arial" w:hAnsi="Arial"/>
          <w:sz w:val="24"/>
          <w:szCs w:val="24"/>
        </w:rPr>
        <w:t xml:space="preserve">– согласие иных учредителей общества при наличии у них права преимущественного выкупа доли;</w:t>
      </w:r>
    </w:p>
    <w:p>
      <w:pPr>
        <w:spacing w:after="120"/>
        <w:ind w:firstLine="709"/>
        <w:jc w:val="both"/>
      </w:pPr>
      <w:r>
        <w:rPr>
          <w:rFonts w:ascii="Arial" w:cs="Arial" w:eastAsia="Arial" w:hAnsi="Arial"/>
          <w:sz w:val="24"/>
          <w:szCs w:val="24"/>
        </w:rPr>
        <w:t xml:space="preserve">– выписка из Единого государственного реестра прав требования на движимое имущество.»;</w:t>
      </w:r>
    </w:p>
    <w:p>
      <w:pPr>
        <w:spacing w:after="120"/>
        <w:ind w:firstLine="709"/>
        <w:jc w:val="both"/>
      </w:pPr>
      <w:r>
        <w:rPr>
          <w:rFonts w:ascii="Arial" w:cs="Arial" w:eastAsia="Arial" w:hAnsi="Arial"/>
          <w:sz w:val="24"/>
          <w:szCs w:val="24"/>
        </w:rPr>
        <w:t xml:space="preserve">– название главы 17 изложить в следующей редакции: «Глава 17. Общие условия удостоверения прочих договоров»;</w:t>
      </w:r>
    </w:p>
    <w:p>
      <w:pPr>
        <w:spacing w:after="120"/>
        <w:ind w:firstLine="709"/>
        <w:jc w:val="both"/>
      </w:pPr>
      <w:r>
        <w:rPr>
          <w:rFonts w:ascii="Arial" w:cs="Arial" w:eastAsia="Arial" w:hAnsi="Arial"/>
          <w:sz w:val="24"/>
          <w:szCs w:val="24"/>
        </w:rPr>
        <w:t xml:space="preserve">– пункт 198 изложить в следующей редакции:</w:t>
      </w:r>
    </w:p>
    <w:p>
      <w:pPr>
        <w:spacing w:after="120"/>
        <w:ind w:firstLine="709"/>
        <w:jc w:val="both"/>
      </w:pPr>
      <w:r>
        <w:rPr>
          <w:rFonts w:ascii="Arial" w:cs="Arial" w:eastAsia="Arial" w:hAnsi="Arial"/>
          <w:sz w:val="24"/>
          <w:szCs w:val="24"/>
        </w:rPr>
        <w:t xml:space="preserve">«198. При удостоверении прочих договоров, не связанных с отчуждением недвижимого имущества и не влекущих перехода права собственности на недвижимое имущество, в том числе связанных с распоряжением и/или управлением движимым имуществом, иным вещным правом на имущество, нотариус истребует основной пакет документов, состоящий из:</w:t>
      </w:r>
    </w:p>
    <w:p>
      <w:pPr>
        <w:spacing w:after="120"/>
        <w:ind w:firstLine="709"/>
        <w:jc w:val="both"/>
      </w:pPr>
      <w:r>
        <w:rPr>
          <w:rFonts w:ascii="Arial" w:cs="Arial" w:eastAsia="Arial" w:hAnsi="Arial"/>
          <w:sz w:val="24"/>
          <w:szCs w:val="24"/>
        </w:rPr>
        <w:t xml:space="preserve">– оригинала правоустанавливающего или правоудостоверяющего документа (копия которого остается в делах у нотариуса, если договор влечет переход права собственности на часть имущества). В случае отсутствия правоустанавливающего (правоудостоверяющего) документа либо ненадлежащим образом оформленного правоустанавливающего (правоудостоверяющего) документа на движимое имущество допускается удостоверение прочего договора при наличии согласия сторон на его заключение при имеющихся обстоятельствах;</w:t>
      </w:r>
    </w:p>
    <w:p>
      <w:pPr>
        <w:spacing w:after="120"/>
        <w:ind w:firstLine="709"/>
        <w:jc w:val="both"/>
      </w:pPr>
      <w:r>
        <w:rPr>
          <w:rFonts w:ascii="Arial" w:cs="Arial" w:eastAsia="Arial" w:hAnsi="Arial"/>
          <w:sz w:val="24"/>
          <w:szCs w:val="24"/>
        </w:rPr>
        <w:t xml:space="preserve">– согласия супруга, если имущество приобретено в совместном браке, а также сособственников, если имущество находится в общей собственности. В случае если имущество находится в общей долевой собственности, сделка удостоверяется нотариусом с учетом положений </w:t>
      </w:r>
      <w:hyperlink w:history="1" r:id="rId_zdnez0hbntfyuwepu8xu">
        <w:r>
          <w:rPr>
            <w:rFonts w:ascii="Arial" w:cs="Arial" w:eastAsia="Arial" w:hAnsi="Arial"/>
            <w:color w:val="1D4ED8"/>
            <w:sz w:val="24"/>
            <w:szCs w:val="24"/>
            <w:u w:val="single"/>
          </w:rPr>
          <w:t xml:space="preserve">статьи 270</w:t>
        </w:r>
      </w:hyperlink>
      <w:r>
        <w:rPr>
          <w:rFonts w:ascii="Arial" w:cs="Arial" w:eastAsia="Arial" w:hAnsi="Arial"/>
          <w:sz w:val="24"/>
          <w:szCs w:val="24"/>
        </w:rPr>
        <w:t xml:space="preserve"> Гражданского кодекса Кыргызской Республики. При дарении доли в праве общей долевой собственности согласие других долевых сособственников не требуется;</w:t>
      </w:r>
    </w:p>
    <w:p>
      <w:pPr>
        <w:spacing w:after="120"/>
        <w:ind w:firstLine="709"/>
        <w:jc w:val="both"/>
      </w:pPr>
      <w:r>
        <w:rPr>
          <w:rFonts w:ascii="Arial" w:cs="Arial" w:eastAsia="Arial" w:hAnsi="Arial"/>
          <w:sz w:val="24"/>
          <w:szCs w:val="24"/>
        </w:rPr>
        <w:t xml:space="preserve">– если стороной сделки является юридическое лицо, решения уполномоченного органа, копий уставных документов или выписок из них, документов, подтверждающих полномочия представителя.</w:t>
      </w:r>
    </w:p>
    <w:p>
      <w:pPr>
        <w:spacing w:after="120"/>
        <w:ind w:firstLine="709"/>
        <w:jc w:val="both"/>
      </w:pPr>
      <w:r>
        <w:rPr>
          <w:rFonts w:ascii="Arial" w:cs="Arial" w:eastAsia="Arial" w:hAnsi="Arial"/>
          <w:sz w:val="24"/>
          <w:szCs w:val="24"/>
        </w:rPr>
        <w:t xml:space="preserve">Нотариус вправе дополнительно истребовать документы в зависимости от вида и сложности сделки, необходимые для полноты и бесспорности нотариального действия.</w:t>
      </w:r>
    </w:p>
    <w:p>
      <w:pPr>
        <w:spacing w:after="120"/>
        <w:ind w:firstLine="709"/>
        <w:jc w:val="both"/>
      </w:pPr>
      <w:r>
        <w:rPr>
          <w:rFonts w:ascii="Arial" w:cs="Arial" w:eastAsia="Arial" w:hAnsi="Arial"/>
          <w:sz w:val="24"/>
          <w:szCs w:val="24"/>
        </w:rPr>
        <w:t xml:space="preserve">Прочие договоры могут быть удостоверены у любого нотариуса, за исключением договоров, в отношении которых настоящей Инструкцией установлен иной порядок оформления.»;</w:t>
      </w:r>
    </w:p>
    <w:p>
      <w:pPr>
        <w:spacing w:after="120"/>
        <w:ind w:firstLine="709"/>
        <w:jc w:val="both"/>
      </w:pPr>
      <w:r>
        <w:rPr>
          <w:rFonts w:ascii="Arial" w:cs="Arial" w:eastAsia="Arial" w:hAnsi="Arial"/>
          <w:sz w:val="24"/>
          <w:szCs w:val="24"/>
        </w:rPr>
        <w:t xml:space="preserve">– пункт 224 дополнить подпунктами 3, 4 следующего содержания:</w:t>
      </w:r>
    </w:p>
    <w:p>
      <w:pPr>
        <w:spacing w:after="120"/>
        <w:ind w:firstLine="709"/>
        <w:jc w:val="both"/>
      </w:pPr>
      <w:r>
        <w:rPr>
          <w:rFonts w:ascii="Arial" w:cs="Arial" w:eastAsia="Arial" w:hAnsi="Arial"/>
          <w:sz w:val="24"/>
          <w:szCs w:val="24"/>
        </w:rPr>
        <w:t xml:space="preserve">«3) подтверждение о внесении объекта в реестр строящихся объектов; </w:t>
      </w:r>
    </w:p>
    <w:p>
      <w:pPr>
        <w:spacing w:after="120"/>
        <w:ind w:firstLine="709"/>
        <w:jc w:val="both"/>
      </w:pPr>
      <w:r>
        <w:rPr>
          <w:rFonts w:ascii="Arial" w:cs="Arial" w:eastAsia="Arial" w:hAnsi="Arial"/>
          <w:sz w:val="24"/>
          <w:szCs w:val="24"/>
        </w:rPr>
        <w:t xml:space="preserve">4) сведения о наличии либо об отсутствии ареста или иных обременений.»;</w:t>
      </w:r>
    </w:p>
    <w:p>
      <w:pPr>
        <w:spacing w:after="120"/>
        <w:ind w:firstLine="709"/>
        <w:jc w:val="both"/>
      </w:pPr>
      <w:r>
        <w:rPr>
          <w:rFonts w:ascii="Arial" w:cs="Arial" w:eastAsia="Arial" w:hAnsi="Arial"/>
          <w:sz w:val="24"/>
          <w:szCs w:val="24"/>
        </w:rPr>
        <w:t xml:space="preserve">– предложение первое пункта 238 изложить в следующей редакции: «Договор суррогатного материнства заключается между лицами/лицом, желающими/желающим иметь ребенка, и женщиной (суррогатной матерью), давшей согласие на применение метода искусственного оплодотворения или имплантации эмбриона в целях вынашивания плода и рождения ребенка.»;</w:t>
      </w:r>
    </w:p>
    <w:p>
      <w:pPr>
        <w:spacing w:after="120"/>
        <w:ind w:firstLine="709"/>
        <w:jc w:val="both"/>
      </w:pPr>
      <w:r>
        <w:rPr>
          <w:rFonts w:ascii="Arial" w:cs="Arial" w:eastAsia="Arial" w:hAnsi="Arial"/>
          <w:sz w:val="24"/>
          <w:szCs w:val="24"/>
        </w:rPr>
        <w:t xml:space="preserve">– абзац второй пункта 311 дополнить предложением следующего содержания: «Настоящее правило не распространяется в случаях совершения исполнительной надписи на залоговых билетах ломбардов.»;</w:t>
      </w:r>
    </w:p>
    <w:p>
      <w:pPr>
        <w:spacing w:after="120"/>
        <w:ind w:firstLine="709"/>
        <w:jc w:val="both"/>
      </w:pPr>
      <w:r>
        <w:rPr>
          <w:rFonts w:ascii="Arial" w:cs="Arial" w:eastAsia="Arial" w:hAnsi="Arial"/>
          <w:sz w:val="24"/>
          <w:szCs w:val="24"/>
        </w:rPr>
        <w:t xml:space="preserve">– пункты 367, 368 изложить в следующей редакции:</w:t>
      </w:r>
    </w:p>
    <w:p>
      <w:pPr>
        <w:spacing w:after="120"/>
        <w:ind w:firstLine="709"/>
        <w:jc w:val="both"/>
      </w:pPr>
      <w:r>
        <w:rPr>
          <w:rFonts w:ascii="Arial" w:cs="Arial" w:eastAsia="Arial" w:hAnsi="Arial"/>
          <w:sz w:val="24"/>
          <w:szCs w:val="24"/>
        </w:rPr>
        <w:t xml:space="preserve">«367. Нотариус удостоверяет согласие в случаях, предусмотренных Гражданским </w:t>
      </w:r>
      <w:hyperlink w:history="1" r:id="rIdllxrsuylenjhqikwfmtm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Семейным </w:t>
      </w:r>
      <w:hyperlink w:history="1" r:id="rId44jv-aypyylcqctzn3dr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9y-j-djco53ozshg9uve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внешней миграции», </w:t>
      </w:r>
      <w:hyperlink w:history="1" r:id="rIdqh2bpj41-qm0-yqbnsbc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«Об охране здоровья граждан в Кыргызской Республике», </w:t>
      </w:r>
      <w:hyperlink w:history="1" r:id="rIdfessb6zzuxs3kbuz36el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w:t>
      </w:r>
      <w:r>
        <w:rPr>
          <w:rFonts w:ascii="Arial" w:cs="Arial" w:eastAsia="Arial" w:hAnsi="Arial"/>
          <w:sz w:val="24"/>
          <w:szCs w:val="24"/>
        </w:rPr>
        <w:t xml:space="preserve"> о детях.</w:t>
      </w:r>
    </w:p>
    <w:p>
      <w:pPr>
        <w:spacing w:after="120"/>
        <w:ind w:firstLine="709"/>
        <w:jc w:val="both"/>
      </w:pPr>
      <w:r>
        <w:rPr>
          <w:rFonts w:ascii="Arial" w:cs="Arial" w:eastAsia="Arial" w:hAnsi="Arial"/>
          <w:sz w:val="24"/>
          <w:szCs w:val="24"/>
        </w:rPr>
        <w:t xml:space="preserve">К таким согласиям относятся:</w:t>
      </w:r>
    </w:p>
    <w:p>
      <w:pPr>
        <w:spacing w:after="120"/>
        <w:ind w:firstLine="709"/>
        <w:jc w:val="both"/>
      </w:pPr>
      <w:r>
        <w:rPr>
          <w:rFonts w:ascii="Arial" w:cs="Arial" w:eastAsia="Arial" w:hAnsi="Arial"/>
          <w:sz w:val="24"/>
          <w:szCs w:val="24"/>
        </w:rPr>
        <w:t xml:space="preserve">– согласие участника(ов) совместной собственности на совершение сделки; </w:t>
      </w:r>
    </w:p>
    <w:p>
      <w:pPr>
        <w:spacing w:after="120"/>
        <w:ind w:firstLine="709"/>
        <w:jc w:val="both"/>
      </w:pPr>
      <w:r>
        <w:rPr>
          <w:rFonts w:ascii="Arial" w:cs="Arial" w:eastAsia="Arial" w:hAnsi="Arial"/>
          <w:sz w:val="24"/>
          <w:szCs w:val="24"/>
        </w:rPr>
        <w:t xml:space="preserve">– согласие супруга для совершения другим супругом сделки по распоряжению недвижимостью и сделки, требующей нотариального удостоверения и (или) регистрации в установленном законом порядке;</w:t>
      </w:r>
    </w:p>
    <w:p>
      <w:pPr>
        <w:spacing w:after="120"/>
        <w:ind w:firstLine="709"/>
        <w:jc w:val="both"/>
      </w:pPr>
      <w:r>
        <w:rPr>
          <w:rFonts w:ascii="Arial" w:cs="Arial" w:eastAsia="Arial" w:hAnsi="Arial"/>
          <w:sz w:val="24"/>
          <w:szCs w:val="24"/>
        </w:rPr>
        <w:t xml:space="preserve">– согласие супруга на заключение договора суррогатного материнства;</w:t>
      </w:r>
    </w:p>
    <w:p>
      <w:pPr>
        <w:spacing w:after="120"/>
        <w:ind w:firstLine="709"/>
        <w:jc w:val="both"/>
      </w:pPr>
      <w:r>
        <w:rPr>
          <w:rFonts w:ascii="Arial" w:cs="Arial" w:eastAsia="Arial" w:hAnsi="Arial"/>
          <w:sz w:val="24"/>
          <w:szCs w:val="24"/>
        </w:rPr>
        <w:t xml:space="preserve">– согласие супруга на использование общего имущества супругов для осуществления личного предпринимательства;</w:t>
      </w:r>
    </w:p>
    <w:p>
      <w:pPr>
        <w:spacing w:after="120"/>
        <w:ind w:firstLine="709"/>
        <w:jc w:val="both"/>
      </w:pPr>
      <w:r>
        <w:rPr>
          <w:rFonts w:ascii="Arial" w:cs="Arial" w:eastAsia="Arial" w:hAnsi="Arial"/>
          <w:sz w:val="24"/>
          <w:szCs w:val="24"/>
        </w:rPr>
        <w:t xml:space="preserve">– согласие залогодателя на регистрацию возникновения и изменения залога, предоставленного в обеспечение договора банковского займа;</w:t>
      </w:r>
    </w:p>
    <w:p>
      <w:pPr>
        <w:spacing w:after="120"/>
        <w:ind w:firstLine="709"/>
        <w:jc w:val="both"/>
      </w:pPr>
      <w:r>
        <w:rPr>
          <w:rFonts w:ascii="Arial" w:cs="Arial" w:eastAsia="Arial" w:hAnsi="Arial"/>
          <w:sz w:val="24"/>
          <w:szCs w:val="24"/>
        </w:rPr>
        <w:t xml:space="preserve">– согласие заинтересованных лиц на исправление ошибок, допущенных при государственной регистрации прав на недвижимое имущество;</w:t>
      </w:r>
    </w:p>
    <w:p>
      <w:pPr>
        <w:spacing w:after="120"/>
        <w:ind w:firstLine="709"/>
        <w:jc w:val="both"/>
      </w:pPr>
      <w:r>
        <w:rPr>
          <w:rFonts w:ascii="Arial" w:cs="Arial" w:eastAsia="Arial" w:hAnsi="Arial"/>
          <w:sz w:val="24"/>
          <w:szCs w:val="24"/>
        </w:rPr>
        <w:t xml:space="preserve">– согласие родителей, усыновителей, опекунов или попечителей на выезд несовершеннолетнего гражданина без сопровождения за пределы Кыргызской Республики;</w:t>
      </w:r>
    </w:p>
    <w:p>
      <w:pPr>
        <w:spacing w:after="120"/>
        <w:ind w:firstLine="709"/>
        <w:jc w:val="both"/>
      </w:pPr>
      <w:r>
        <w:rPr>
          <w:rFonts w:ascii="Arial" w:cs="Arial" w:eastAsia="Arial" w:hAnsi="Arial"/>
          <w:sz w:val="24"/>
          <w:szCs w:val="24"/>
        </w:rPr>
        <w:t xml:space="preserve">– согласие родителя на постоянное место жительства и/или на выезд за пределы Кыргызской Республики лиц, не достигших восемнадцати лет, совместно с одним из родителей (опекуном, попечителем);</w:t>
      </w:r>
    </w:p>
    <w:p>
      <w:pPr>
        <w:spacing w:after="120"/>
        <w:ind w:firstLine="709"/>
        <w:jc w:val="both"/>
      </w:pPr>
      <w:r>
        <w:rPr>
          <w:rFonts w:ascii="Arial" w:cs="Arial" w:eastAsia="Arial" w:hAnsi="Arial"/>
          <w:sz w:val="24"/>
          <w:szCs w:val="24"/>
        </w:rPr>
        <w:t xml:space="preserve">– согласие ребенка в возрасте от 14 до 18 лет на постоянное проживание в Кыргызской Республике;</w:t>
      </w:r>
    </w:p>
    <w:p>
      <w:pPr>
        <w:spacing w:after="120"/>
        <w:ind w:firstLine="709"/>
        <w:jc w:val="both"/>
      </w:pPr>
      <w:r>
        <w:rPr>
          <w:rFonts w:ascii="Arial" w:cs="Arial" w:eastAsia="Arial" w:hAnsi="Arial"/>
          <w:sz w:val="24"/>
          <w:szCs w:val="24"/>
        </w:rPr>
        <w:t xml:space="preserve">– согласие собственников помещений (частей дома), смежных с изменяемыми помещениями (частями дома) в случае, если планируемая реконструкция (перепланировка, переоборудование) помещений (частей жилого дома) или перенос границ помещений затрагивают их интересы;</w:t>
      </w:r>
    </w:p>
    <w:p>
      <w:pPr>
        <w:spacing w:after="120"/>
        <w:ind w:firstLine="709"/>
        <w:jc w:val="both"/>
      </w:pPr>
      <w:r>
        <w:rPr>
          <w:rFonts w:ascii="Arial" w:cs="Arial" w:eastAsia="Arial" w:hAnsi="Arial"/>
          <w:sz w:val="24"/>
          <w:szCs w:val="24"/>
        </w:rPr>
        <w:t xml:space="preserve">– другие согласия собственников, предусмотренные законодательством Кыргызской Республики.</w:t>
      </w:r>
    </w:p>
    <w:p>
      <w:pPr>
        <w:spacing w:after="120"/>
        <w:ind w:firstLine="709"/>
        <w:jc w:val="both"/>
      </w:pPr>
      <w:r>
        <w:rPr>
          <w:rFonts w:ascii="Arial" w:cs="Arial" w:eastAsia="Arial" w:hAnsi="Arial"/>
          <w:sz w:val="24"/>
          <w:szCs w:val="24"/>
        </w:rPr>
        <w:t xml:space="preserve">368. Удостоверение согласия производится с соблюдением общих правил удостоверения сделок.</w:t>
      </w:r>
    </w:p>
    <w:p>
      <w:pPr>
        <w:spacing w:after="120"/>
        <w:ind w:firstLine="709"/>
        <w:jc w:val="both"/>
      </w:pPr>
      <w:r>
        <w:rPr>
          <w:rFonts w:ascii="Arial" w:cs="Arial" w:eastAsia="Arial" w:hAnsi="Arial"/>
          <w:sz w:val="24"/>
          <w:szCs w:val="24"/>
        </w:rPr>
        <w:t xml:space="preserve">В согласии указывается наименование документа «Согласие», место и дата удостоверения согласия; фамилия, имя, отчество (при наличии) лица (лиц), подписавшего (подписавших) согласие, персональный идентификационный номер, дата и место рождения, место жительства или место нахождения.</w:t>
      </w:r>
    </w:p>
    <w:p>
      <w:pPr>
        <w:spacing w:after="120"/>
        <w:ind w:firstLine="709"/>
        <w:jc w:val="both"/>
      </w:pPr>
      <w:r>
        <w:rPr>
          <w:rFonts w:ascii="Arial" w:cs="Arial" w:eastAsia="Arial" w:hAnsi="Arial"/>
          <w:sz w:val="24"/>
          <w:szCs w:val="24"/>
        </w:rPr>
        <w:t xml:space="preserve">Согласие удостоверяется нотариусом в двух экземплярах, один из которых хранится в делах нотариуса. Удостоверение одного согласия независимо от количества лиц, его подписавших, является одним нотариальным действием.</w:t>
      </w:r>
    </w:p>
    <w:p>
      <w:pPr>
        <w:spacing w:after="120"/>
        <w:ind w:firstLine="709"/>
        <w:jc w:val="both"/>
      </w:pPr>
      <w:r>
        <w:rPr>
          <w:rFonts w:ascii="Arial" w:cs="Arial" w:eastAsia="Arial" w:hAnsi="Arial"/>
          <w:sz w:val="24"/>
          <w:szCs w:val="24"/>
        </w:rPr>
        <w:t xml:space="preserve">При удостоверении согласия в отношении близких родственников и супругов проверяются документы, подтверждающие родственные и брачные отношения, копии которых прилагаются к наряду.</w:t>
      </w:r>
    </w:p>
    <w:p>
      <w:pPr>
        <w:spacing w:after="120"/>
        <w:ind w:firstLine="709"/>
        <w:jc w:val="both"/>
      </w:pPr>
      <w:r>
        <w:rPr>
          <w:rFonts w:ascii="Arial" w:cs="Arial" w:eastAsia="Arial" w:hAnsi="Arial"/>
          <w:sz w:val="24"/>
          <w:szCs w:val="24"/>
        </w:rPr>
        <w:t xml:space="preserve">Нотариус удостоверяет согласие супругов с указанием конкретного имущества, в отношении которого дается согласие.»;</w:t>
      </w:r>
    </w:p>
    <w:p>
      <w:pPr>
        <w:spacing w:after="120"/>
        <w:ind w:firstLine="709"/>
        <w:jc w:val="both"/>
      </w:pPr>
      <w:r>
        <w:rPr>
          <w:rFonts w:ascii="Arial" w:cs="Arial" w:eastAsia="Arial" w:hAnsi="Arial"/>
          <w:sz w:val="24"/>
          <w:szCs w:val="24"/>
        </w:rPr>
        <w:t xml:space="preserve">– пункт 380 дополнить абзацем следующего содержания:</w:t>
      </w:r>
    </w:p>
    <w:p>
      <w:pPr>
        <w:spacing w:after="120"/>
        <w:ind w:firstLine="709"/>
        <w:jc w:val="both"/>
      </w:pPr>
      <w:r>
        <w:rPr>
          <w:rFonts w:ascii="Arial" w:cs="Arial" w:eastAsia="Arial" w:hAnsi="Arial"/>
          <w:sz w:val="24"/>
          <w:szCs w:val="24"/>
        </w:rPr>
        <w:t xml:space="preserve">«Нотариус имеет право получать сведения об открытии наследственного дела с публичных сайтов наследственных дел нотариальных палат или компетентных органов иностранных государств.»;</w:t>
      </w:r>
    </w:p>
    <w:p>
      <w:pPr>
        <w:spacing w:after="120"/>
        <w:ind w:firstLine="709"/>
        <w:jc w:val="both"/>
      </w:pPr>
      <w:r>
        <w:rPr>
          <w:rFonts w:ascii="Arial" w:cs="Arial" w:eastAsia="Arial" w:hAnsi="Arial"/>
          <w:sz w:val="24"/>
          <w:szCs w:val="24"/>
        </w:rPr>
        <w:t xml:space="preserve">– пункт 384 дополнить абзацем следующего содержания:</w:t>
      </w:r>
    </w:p>
    <w:p>
      <w:pPr>
        <w:spacing w:after="120"/>
        <w:ind w:firstLine="709"/>
        <w:jc w:val="both"/>
      </w:pPr>
      <w:r>
        <w:rPr>
          <w:rFonts w:ascii="Arial" w:cs="Arial" w:eastAsia="Arial" w:hAnsi="Arial"/>
          <w:sz w:val="24"/>
          <w:szCs w:val="24"/>
        </w:rPr>
        <w:t xml:space="preserve">«Заявление регистрируется в журнале входящей корреспонденции, в этом случае наследник считается принявшим наследство.»;</w:t>
      </w:r>
    </w:p>
    <w:p>
      <w:pPr>
        <w:spacing w:after="120"/>
        <w:ind w:firstLine="709"/>
        <w:jc w:val="both"/>
      </w:pPr>
      <w:r>
        <w:rPr>
          <w:rFonts w:ascii="Arial" w:cs="Arial" w:eastAsia="Arial" w:hAnsi="Arial"/>
          <w:sz w:val="24"/>
          <w:szCs w:val="24"/>
        </w:rPr>
        <w:t xml:space="preserve">– пункт 388 изложить в следующей редакции:</w:t>
      </w:r>
    </w:p>
    <w:p>
      <w:pPr>
        <w:spacing w:after="120"/>
        <w:ind w:firstLine="709"/>
        <w:jc w:val="both"/>
      </w:pPr>
      <w:r>
        <w:rPr>
          <w:rFonts w:ascii="Arial" w:cs="Arial" w:eastAsia="Arial" w:hAnsi="Arial"/>
          <w:sz w:val="24"/>
          <w:szCs w:val="24"/>
        </w:rPr>
        <w:t xml:space="preserve">«388. Во избежание открытия нескольких наследственных дел на одного наследодателя нотариус обязан проверить в ЕСИН наличие открытого наследственного дела.</w:t>
      </w:r>
    </w:p>
    <w:p>
      <w:pPr>
        <w:spacing w:after="120"/>
        <w:ind w:firstLine="709"/>
        <w:jc w:val="both"/>
      </w:pPr>
      <w:r>
        <w:rPr>
          <w:rFonts w:ascii="Arial" w:cs="Arial" w:eastAsia="Arial" w:hAnsi="Arial"/>
          <w:sz w:val="24"/>
          <w:szCs w:val="24"/>
        </w:rPr>
        <w:t xml:space="preserve">Нотариус обязан внести сведения об открытии наследственного дела в ЕИСН.»;</w:t>
      </w:r>
    </w:p>
    <w:p>
      <w:pPr>
        <w:spacing w:after="120"/>
        <w:ind w:firstLine="709"/>
        <w:jc w:val="both"/>
      </w:pPr>
      <w:r>
        <w:rPr>
          <w:rFonts w:ascii="Arial" w:cs="Arial" w:eastAsia="Arial" w:hAnsi="Arial"/>
          <w:sz w:val="24"/>
          <w:szCs w:val="24"/>
        </w:rPr>
        <w:t xml:space="preserve">– в пункте 393 слова «сведения из электронных систем Базы национальных паспортов, мобильное приложение «Тундук», автоматизированной информационной системы «Санарип аймак»,» заменить словами «сведения из государственного портала электронных услуг «Тундук», автоматизированных информационных систем «Паспорт», «Адресно-справочное бюро», «Санарип аймак»,»;</w:t>
      </w:r>
    </w:p>
    <w:p>
      <w:pPr>
        <w:spacing w:after="120"/>
        <w:ind w:firstLine="709"/>
        <w:jc w:val="both"/>
      </w:pPr>
      <w:r>
        <w:rPr>
          <w:rFonts w:ascii="Arial" w:cs="Arial" w:eastAsia="Arial" w:hAnsi="Arial"/>
          <w:sz w:val="24"/>
          <w:szCs w:val="24"/>
        </w:rPr>
        <w:t xml:space="preserve">– пункт 395 изложить в следующей редакции:</w:t>
      </w:r>
    </w:p>
    <w:p>
      <w:pPr>
        <w:spacing w:after="120"/>
        <w:ind w:firstLine="709"/>
        <w:jc w:val="both"/>
      </w:pPr>
      <w:r>
        <w:rPr>
          <w:rFonts w:ascii="Arial" w:cs="Arial" w:eastAsia="Arial" w:hAnsi="Arial"/>
          <w:sz w:val="24"/>
          <w:szCs w:val="24"/>
        </w:rPr>
        <w:t xml:space="preserve">«395. Факт смерти и время открытия наследства подтверждаются свидетельством о смерти наследодателя, выпиской из актовой записи о смерти, вступившим в законную силу решением суда об установлении факта смерти, медицинским свидетельством о смерти установленной формы, выданным медицинским учреждением.</w:t>
      </w:r>
    </w:p>
    <w:p>
      <w:pPr>
        <w:spacing w:after="120"/>
        <w:ind w:firstLine="709"/>
        <w:jc w:val="both"/>
      </w:pPr>
      <w:r>
        <w:rPr>
          <w:rFonts w:ascii="Arial" w:cs="Arial" w:eastAsia="Arial" w:hAnsi="Arial"/>
          <w:sz w:val="24"/>
          <w:szCs w:val="24"/>
        </w:rPr>
        <w:t xml:space="preserve">После принятия медицинского свидетельства о смерти или решения суда нотариус предлагает заявителю получить в уполномоченных органах или консульских учреждениях свидетельство о смерти.»;</w:t>
      </w:r>
    </w:p>
    <w:p>
      <w:pPr>
        <w:spacing w:after="120"/>
        <w:ind w:firstLine="709"/>
        <w:jc w:val="both"/>
      </w:pPr>
      <w:r>
        <w:rPr>
          <w:rFonts w:ascii="Arial" w:cs="Arial" w:eastAsia="Arial" w:hAnsi="Arial"/>
          <w:sz w:val="24"/>
          <w:szCs w:val="24"/>
        </w:rPr>
        <w:t xml:space="preserve">– пункт 396 дополнить абзацем следующего содержания:</w:t>
      </w:r>
    </w:p>
    <w:p>
      <w:pPr>
        <w:spacing w:after="120"/>
        <w:ind w:firstLine="709"/>
        <w:jc w:val="both"/>
      </w:pPr>
      <w:r>
        <w:rPr>
          <w:rFonts w:ascii="Arial" w:cs="Arial" w:eastAsia="Arial" w:hAnsi="Arial"/>
          <w:sz w:val="24"/>
          <w:szCs w:val="24"/>
        </w:rPr>
        <w:t xml:space="preserve">«Нотариус вправе истребовать вступившее в законную силу решение суда о признании его иждивенцем или нетрудоспособным.»;</w:t>
      </w:r>
    </w:p>
    <w:p>
      <w:pPr>
        <w:spacing w:after="120"/>
        <w:ind w:firstLine="709"/>
        <w:jc w:val="both"/>
      </w:pPr>
      <w:r>
        <w:rPr>
          <w:rFonts w:ascii="Arial" w:cs="Arial" w:eastAsia="Arial" w:hAnsi="Arial"/>
          <w:sz w:val="24"/>
          <w:szCs w:val="24"/>
        </w:rPr>
        <w:t xml:space="preserve">– подпункт 1 пункта 401 изложить в следующей редакции:</w:t>
      </w:r>
    </w:p>
    <w:p>
      <w:pPr>
        <w:spacing w:after="120"/>
        <w:ind w:firstLine="709"/>
        <w:jc w:val="both"/>
      </w:pPr>
      <w:r>
        <w:rPr>
          <w:rFonts w:ascii="Arial" w:cs="Arial" w:eastAsia="Arial" w:hAnsi="Arial"/>
          <w:sz w:val="24"/>
          <w:szCs w:val="24"/>
        </w:rPr>
        <w:t xml:space="preserve">«1) правоустанавливающие или правоудостоверяющие документы о принадлежности недвижимого имущества наследодателю;»;</w:t>
      </w:r>
    </w:p>
    <w:p>
      <w:pPr>
        <w:spacing w:after="120"/>
        <w:ind w:firstLine="709"/>
        <w:jc w:val="both"/>
      </w:pPr>
      <w:r>
        <w:rPr>
          <w:rFonts w:ascii="Arial" w:cs="Arial" w:eastAsia="Arial" w:hAnsi="Arial"/>
          <w:sz w:val="24"/>
          <w:szCs w:val="24"/>
        </w:rPr>
        <w:t xml:space="preserve">– пункт 419 изложить в следующей редакции:</w:t>
      </w:r>
    </w:p>
    <w:p>
      <w:pPr>
        <w:spacing w:after="120"/>
        <w:ind w:firstLine="709"/>
        <w:jc w:val="both"/>
      </w:pPr>
      <w:r>
        <w:rPr>
          <w:rFonts w:ascii="Arial" w:cs="Arial" w:eastAsia="Arial" w:hAnsi="Arial"/>
          <w:sz w:val="24"/>
          <w:szCs w:val="24"/>
        </w:rPr>
        <w:t xml:space="preserve">«419. Наличие брачных отношений супругов устанавливается нотариусом на основании свидетельства о заключении брака или выписки из актовой записи.»;</w:t>
      </w:r>
    </w:p>
    <w:p>
      <w:pPr>
        <w:spacing w:after="120"/>
        <w:ind w:firstLine="709"/>
        <w:jc w:val="both"/>
      </w:pPr>
      <w:r>
        <w:rPr>
          <w:rFonts w:ascii="Arial" w:cs="Arial" w:eastAsia="Arial" w:hAnsi="Arial"/>
          <w:sz w:val="24"/>
          <w:szCs w:val="24"/>
        </w:rPr>
        <w:t xml:space="preserve">– пункт 476 дополнить абзацем следующего содержания:</w:t>
      </w:r>
    </w:p>
    <w:p>
      <w:pPr>
        <w:spacing w:after="120"/>
        <w:ind w:firstLine="709"/>
        <w:jc w:val="both"/>
      </w:pPr>
      <w:r>
        <w:rPr>
          <w:rFonts w:ascii="Arial" w:cs="Arial" w:eastAsia="Arial" w:hAnsi="Arial"/>
          <w:sz w:val="24"/>
          <w:szCs w:val="24"/>
        </w:rPr>
        <w:t xml:space="preserve">«Документами, подтверждающими фактическое вступление и/или принятие наследства, могут быть: справка о совместном проживании наследника и наследодателя на момент смерти, полученная из государственного портала электронных услуг «Тундук», автоматизированных информационных систем «Паспорт», «Адресно-справочное бюро», «Санарип аймак», квитанции или чеки, подтверждающие оплату коммунальных услуг, налогов на имущество умершего, иных обязательных платежей; акты приема-передачи, ключи от дома/машины/гаража, договоры аренды, ремонта, охрана наследственного имущества, протоколы опроса свидетелей, письменные подтверждения других наследников, решения судов об установлении факта принятия или вступления в наследство.»;</w:t>
      </w:r>
    </w:p>
    <w:p>
      <w:pPr>
        <w:spacing w:after="120"/>
        <w:ind w:firstLine="709"/>
        <w:jc w:val="both"/>
      </w:pPr>
      <w:r>
        <w:rPr>
          <w:rFonts w:ascii="Arial" w:cs="Arial" w:eastAsia="Arial" w:hAnsi="Arial"/>
          <w:sz w:val="24"/>
          <w:szCs w:val="24"/>
        </w:rPr>
        <w:t xml:space="preserve">– дополнить главой 43 следующего содержания:</w:t>
      </w:r>
    </w:p>
    <w:p>
      <w:pPr>
        <w:spacing w:after="120"/>
        <w:jc w:val="center"/>
      </w:pPr>
      <w:r>
        <w:rPr>
          <w:rFonts w:ascii="Arial" w:cs="Arial" w:eastAsia="Arial" w:hAnsi="Arial"/>
          <w:sz w:val="24"/>
          <w:szCs w:val="24"/>
        </w:rPr>
        <w:t xml:space="preserve">«Глава 43. Приказное производство</w:t>
      </w:r>
    </w:p>
    <w:p>
      <w:pPr>
        <w:spacing w:after="120"/>
        <w:ind w:firstLine="709"/>
        <w:jc w:val="both"/>
      </w:pPr>
      <w:r>
        <w:rPr>
          <w:rFonts w:ascii="Arial" w:cs="Arial" w:eastAsia="Arial" w:hAnsi="Arial"/>
          <w:sz w:val="24"/>
          <w:szCs w:val="24"/>
        </w:rPr>
        <w:t xml:space="preserve">505. Приказное производство регулируется главой 15</w:t>
      </w:r>
      <w:r>
        <w:rPr>
          <w:rFonts w:ascii="Arial" w:cs="Arial" w:eastAsia="Arial" w:hAnsi="Arial"/>
          <w:sz w:val="24"/>
          <w:szCs w:val="24"/>
        </w:rPr>
        <w:t xml:space="preserve">1</w:t>
      </w:r>
      <w:r>
        <w:rPr>
          <w:rFonts w:ascii="Arial" w:cs="Arial" w:eastAsia="Arial" w:hAnsi="Arial"/>
          <w:sz w:val="24"/>
          <w:szCs w:val="24"/>
        </w:rPr>
        <w:t xml:space="preserve"> </w:t>
      </w:r>
      <w:hyperlink w:history="1" r:id="rIdenhkfs3iafv5ce1sb3tg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w:t>
      </w:r>
    </w:p>
    <w:p>
      <w:pPr>
        <w:spacing w:after="120"/>
        <w:ind w:firstLine="709"/>
        <w:jc w:val="both"/>
      </w:pPr>
      <w:r>
        <w:rPr>
          <w:rFonts w:ascii="Arial" w:cs="Arial" w:eastAsia="Arial" w:hAnsi="Arial"/>
          <w:sz w:val="24"/>
          <w:szCs w:val="24"/>
        </w:rPr>
        <w:t xml:space="preserve">506. Последовательность вынесения нотариального приказа предусматривает стадии приказного производства:</w:t>
      </w:r>
    </w:p>
    <w:p>
      <w:pPr>
        <w:spacing w:after="120"/>
        <w:ind w:firstLine="709"/>
        <w:jc w:val="both"/>
      </w:pPr>
      <w:r>
        <w:rPr>
          <w:rFonts w:ascii="Arial" w:cs="Arial" w:eastAsia="Arial" w:hAnsi="Arial"/>
          <w:sz w:val="24"/>
          <w:szCs w:val="24"/>
        </w:rPr>
        <w:t xml:space="preserve">– принятие заявления к производству;</w:t>
      </w:r>
    </w:p>
    <w:p>
      <w:pPr>
        <w:spacing w:after="120"/>
        <w:ind w:firstLine="709"/>
        <w:jc w:val="both"/>
      </w:pPr>
      <w:r>
        <w:rPr>
          <w:rFonts w:ascii="Arial" w:cs="Arial" w:eastAsia="Arial" w:hAnsi="Arial"/>
          <w:sz w:val="24"/>
          <w:szCs w:val="24"/>
        </w:rPr>
        <w:t xml:space="preserve">– отказ в принятии заявления;</w:t>
      </w:r>
    </w:p>
    <w:p>
      <w:pPr>
        <w:spacing w:after="120"/>
        <w:ind w:firstLine="709"/>
        <w:jc w:val="both"/>
      </w:pPr>
      <w:r>
        <w:rPr>
          <w:rFonts w:ascii="Arial" w:cs="Arial" w:eastAsia="Arial" w:hAnsi="Arial"/>
          <w:sz w:val="24"/>
          <w:szCs w:val="24"/>
        </w:rPr>
        <w:t xml:space="preserve">– вынесение нотариального приказа;</w:t>
      </w:r>
    </w:p>
    <w:p>
      <w:pPr>
        <w:spacing w:after="120"/>
        <w:ind w:firstLine="709"/>
        <w:jc w:val="both"/>
      </w:pPr>
      <w:r>
        <w:rPr>
          <w:rFonts w:ascii="Arial" w:cs="Arial" w:eastAsia="Arial" w:hAnsi="Arial"/>
          <w:sz w:val="24"/>
          <w:szCs w:val="24"/>
        </w:rPr>
        <w:t xml:space="preserve">– уведомление должника;</w:t>
      </w:r>
    </w:p>
    <w:p>
      <w:pPr>
        <w:spacing w:after="120"/>
        <w:ind w:firstLine="709"/>
        <w:jc w:val="both"/>
      </w:pPr>
      <w:r>
        <w:rPr>
          <w:rFonts w:ascii="Arial" w:cs="Arial" w:eastAsia="Arial" w:hAnsi="Arial"/>
          <w:sz w:val="24"/>
          <w:szCs w:val="24"/>
        </w:rPr>
        <w:t xml:space="preserve">– отмена нотариального приказа в случае получения возражений должника;</w:t>
      </w:r>
    </w:p>
    <w:p>
      <w:pPr>
        <w:spacing w:after="120"/>
        <w:ind w:firstLine="709"/>
        <w:jc w:val="both"/>
      </w:pPr>
      <w:r>
        <w:rPr>
          <w:rFonts w:ascii="Arial" w:cs="Arial" w:eastAsia="Arial" w:hAnsi="Arial"/>
          <w:sz w:val="24"/>
          <w:szCs w:val="24"/>
        </w:rPr>
        <w:t xml:space="preserve">– отказ в отмене нотариального приказа.</w:t>
      </w:r>
    </w:p>
    <w:p>
      <w:pPr>
        <w:spacing w:after="120"/>
        <w:ind w:firstLine="709"/>
        <w:jc w:val="both"/>
      </w:pPr>
      <w:r>
        <w:rPr>
          <w:rFonts w:ascii="Arial" w:cs="Arial" w:eastAsia="Arial" w:hAnsi="Arial"/>
          <w:sz w:val="24"/>
          <w:szCs w:val="24"/>
        </w:rPr>
        <w:t xml:space="preserve">507. Возбуждение приказного производства включает в себя открытие приказного дела или отказ в принятии заявления о выдаче приказа.</w:t>
      </w:r>
    </w:p>
    <w:p>
      <w:pPr>
        <w:spacing w:after="120"/>
        <w:ind w:firstLine="709"/>
        <w:jc w:val="both"/>
      </w:pPr>
      <w:r>
        <w:rPr>
          <w:rFonts w:ascii="Arial" w:cs="Arial" w:eastAsia="Arial" w:hAnsi="Arial"/>
          <w:sz w:val="24"/>
          <w:szCs w:val="24"/>
        </w:rPr>
        <w:t xml:space="preserve">508. Открытие приказного дела или отказ в принятии заявления о выдаче приказа производится нотариусом в трехдневный срок.</w:t>
      </w:r>
    </w:p>
    <w:p>
      <w:pPr>
        <w:spacing w:after="120"/>
        <w:ind w:firstLine="709"/>
        <w:jc w:val="both"/>
      </w:pPr>
      <w:r>
        <w:rPr>
          <w:rFonts w:ascii="Arial" w:cs="Arial" w:eastAsia="Arial" w:hAnsi="Arial"/>
          <w:sz w:val="24"/>
          <w:szCs w:val="24"/>
        </w:rPr>
        <w:t xml:space="preserve">509. Если последний день выпадает на выходные или праздничные дни, то приказ о выдаче или отказ выносится в следующий рабочий день.</w:t>
      </w:r>
    </w:p>
    <w:p>
      <w:pPr>
        <w:spacing w:after="120"/>
        <w:ind w:firstLine="709"/>
        <w:jc w:val="both"/>
      </w:pPr>
      <w:r>
        <w:rPr>
          <w:rFonts w:ascii="Arial" w:cs="Arial" w:eastAsia="Arial" w:hAnsi="Arial"/>
          <w:sz w:val="24"/>
          <w:szCs w:val="24"/>
        </w:rPr>
        <w:t xml:space="preserve">510. Заявление о вынесении нотариального приказа подается нотариусу по месту жительства или месту нахождения должника. Заявление о взыскании алиментов может быть подано и предъявлено также по месту жительства взыскателя.</w:t>
      </w:r>
    </w:p>
    <w:p>
      <w:pPr>
        <w:spacing w:after="120"/>
        <w:ind w:firstLine="709"/>
        <w:jc w:val="both"/>
      </w:pPr>
      <w:r>
        <w:rPr>
          <w:rFonts w:ascii="Arial" w:cs="Arial" w:eastAsia="Arial" w:hAnsi="Arial"/>
          <w:sz w:val="24"/>
          <w:szCs w:val="24"/>
        </w:rPr>
        <w:t xml:space="preserve">511. В случае подачи заявления представителем взыскателя нотариус проверяет полномочия на основании доверенности.</w:t>
      </w:r>
    </w:p>
    <w:p>
      <w:pPr>
        <w:spacing w:after="120"/>
        <w:ind w:firstLine="709"/>
        <w:jc w:val="both"/>
      </w:pPr>
      <w:r>
        <w:rPr>
          <w:rFonts w:ascii="Arial" w:cs="Arial" w:eastAsia="Arial" w:hAnsi="Arial"/>
          <w:sz w:val="24"/>
          <w:szCs w:val="24"/>
        </w:rPr>
        <w:t xml:space="preserve">512. При обращении юридического лица нотариус проверяет наличие нотариально удостоверенной доверенности, подтверждающей право представителя действовать от имени взыскателя.</w:t>
      </w:r>
    </w:p>
    <w:p>
      <w:pPr>
        <w:spacing w:after="120"/>
        <w:ind w:firstLine="709"/>
        <w:jc w:val="both"/>
      </w:pPr>
      <w:r>
        <w:rPr>
          <w:rFonts w:ascii="Arial" w:cs="Arial" w:eastAsia="Arial" w:hAnsi="Arial"/>
          <w:sz w:val="24"/>
          <w:szCs w:val="24"/>
        </w:rPr>
        <w:t xml:space="preserve">513. Заявление о выдаче нотариального приказа подается в форме машинописного текста, регистрируется в журнале учета дел приказного производства. Если заявление поступило по почте или передано другим лицом, при этом подлинность подписи заявителя на заявлении нотариально не засвидетельствована, заявление должно быть принято нотариусом, а заявителю предлагается выслать надлежаще оформленное заявление либо явиться лично к нотариусу.</w:t>
      </w:r>
    </w:p>
    <w:p>
      <w:pPr>
        <w:spacing w:after="120"/>
        <w:ind w:firstLine="709"/>
        <w:jc w:val="both"/>
      </w:pPr>
      <w:r>
        <w:rPr>
          <w:rFonts w:ascii="Arial" w:cs="Arial" w:eastAsia="Arial" w:hAnsi="Arial"/>
          <w:sz w:val="24"/>
          <w:szCs w:val="24"/>
        </w:rPr>
        <w:t xml:space="preserve">514. Нотариус проверяет соблюдение требований, предъявляемых к форме и содержанию заявления, перечисленных в </w:t>
      </w:r>
      <w:hyperlink w:history="1" r:id="rIdakd71c_m6oioab5l3xvat">
        <w:r>
          <w:rPr>
            <w:rFonts w:ascii="Arial" w:cs="Arial" w:eastAsia="Arial" w:hAnsi="Arial"/>
            <w:color w:val="1D4ED8"/>
            <w:sz w:val="24"/>
            <w:szCs w:val="24"/>
            <w:u w:val="single"/>
          </w:rPr>
          <w:t xml:space="preserve">статье 100</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Закона Кыргызской Республики «О нотариате». В случае если имеются недостатки по форме и содержанию заявления о выдаче приказа, то нотариус выносит постановление об отказе в принятии заявления о выдаче приказа с перечислением оснований, указанных в </w:t>
      </w:r>
      <w:hyperlink w:history="1" r:id="rIdmkxxp25mnvlxs7yg6b7or">
        <w:r>
          <w:rPr>
            <w:rFonts w:ascii="Arial" w:cs="Arial" w:eastAsia="Arial" w:hAnsi="Arial"/>
            <w:color w:val="1D4ED8"/>
            <w:sz w:val="24"/>
            <w:szCs w:val="24"/>
            <w:u w:val="single"/>
          </w:rPr>
          <w:t xml:space="preserve">статье 100</w:t>
        </w:r>
        <w:r>
          <w:rPr>
            <w:rFonts w:ascii="Arial" w:cs="Arial" w:eastAsia="Arial" w:hAnsi="Arial"/>
            <w:color w:val="1D4ED8"/>
            <w:sz w:val="24"/>
            <w:szCs w:val="24"/>
            <w:u w:val="single"/>
          </w:rPr>
          <w:t xml:space="preserve">5</w:t>
        </w:r>
      </w:hyperlink>
      <w:r>
        <w:rPr>
          <w:rFonts w:ascii="Arial" w:cs="Arial" w:eastAsia="Arial" w:hAnsi="Arial"/>
          <w:sz w:val="24"/>
          <w:szCs w:val="24"/>
        </w:rPr>
        <w:t xml:space="preserve"> Закона Кыргызской Республики «О нотариате».</w:t>
      </w:r>
    </w:p>
    <w:p>
      <w:pPr>
        <w:spacing w:after="120"/>
        <w:ind w:firstLine="709"/>
        <w:jc w:val="both"/>
      </w:pPr>
      <w:r>
        <w:rPr>
          <w:rFonts w:ascii="Arial" w:cs="Arial" w:eastAsia="Arial" w:hAnsi="Arial"/>
          <w:sz w:val="24"/>
          <w:szCs w:val="24"/>
        </w:rPr>
        <w:t xml:space="preserve">515. Приказное производство формируется на каждое поданное заявление о выдаче приказа по требованию к должнику.</w:t>
      </w:r>
    </w:p>
    <w:p>
      <w:pPr>
        <w:spacing w:after="120"/>
        <w:ind w:firstLine="709"/>
        <w:jc w:val="both"/>
      </w:pPr>
      <w:r>
        <w:rPr>
          <w:rFonts w:ascii="Arial" w:cs="Arial" w:eastAsia="Arial" w:hAnsi="Arial"/>
          <w:sz w:val="24"/>
          <w:szCs w:val="24"/>
        </w:rPr>
        <w:t xml:space="preserve">516. Подтверждающие документы по заявленным требованиям, перечисленным в пунктах 1, 2, 3, 5, 6 </w:t>
      </w:r>
      <w:hyperlink w:history="1" r:id="rId_n7cipmpiwf8kakoujuqw">
        <w:r>
          <w:rPr>
            <w:rFonts w:ascii="Arial" w:cs="Arial" w:eastAsia="Arial" w:hAnsi="Arial"/>
            <w:color w:val="1D4ED8"/>
            <w:sz w:val="24"/>
            <w:szCs w:val="24"/>
            <w:u w:val="single"/>
          </w:rPr>
          <w:t xml:space="preserve">статьи 100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Закона Кыргызской Республики «О нотариате», представляются нотариусу в оригинале. Надлежаще оформленные дубликаты приравниваются к оригиналу и принимаются к производству, если они не вызывают сомнения у нотариуса в их бесспорности.</w:t>
      </w:r>
    </w:p>
    <w:p>
      <w:pPr>
        <w:spacing w:after="120"/>
        <w:ind w:firstLine="709"/>
        <w:jc w:val="both"/>
      </w:pPr>
      <w:r>
        <w:rPr>
          <w:rFonts w:ascii="Arial" w:cs="Arial" w:eastAsia="Arial" w:hAnsi="Arial"/>
          <w:sz w:val="24"/>
          <w:szCs w:val="24"/>
        </w:rPr>
        <w:t xml:space="preserve">517. Нотариус определяет место жительства и/или место нахождения должника по месту регистрации или фактическому месту жительства на основании справок, полученных из государственного портала электронных услуг «Тундук», автоматизированных информационных систем «Паспорт», «Адресно-справочное бюро», «Санарип аймак», электронного реестра юридических лиц, филиалов (представительств).</w:t>
      </w:r>
    </w:p>
    <w:p>
      <w:pPr>
        <w:spacing w:after="120"/>
        <w:ind w:firstLine="709"/>
        <w:jc w:val="both"/>
      </w:pPr>
      <w:r>
        <w:rPr>
          <w:rFonts w:ascii="Arial" w:cs="Arial" w:eastAsia="Arial" w:hAnsi="Arial"/>
          <w:sz w:val="24"/>
          <w:szCs w:val="24"/>
        </w:rPr>
        <w:t xml:space="preserve">518. Нотариус не выдает приказы в отношении должников, находящихся за пределами Кыргызской Республики.</w:t>
      </w:r>
    </w:p>
    <w:p>
      <w:pPr>
        <w:spacing w:after="120"/>
        <w:ind w:firstLine="709"/>
        <w:jc w:val="both"/>
      </w:pPr>
      <w:r>
        <w:rPr>
          <w:rFonts w:ascii="Arial" w:cs="Arial" w:eastAsia="Arial" w:hAnsi="Arial"/>
          <w:sz w:val="24"/>
          <w:szCs w:val="24"/>
        </w:rPr>
        <w:t xml:space="preserve">519. Оплата государственной пошлины производится до подачи заявления о выдаче приказа и сведения об оплате указываются в перечне прилагаемых документов.</w:t>
      </w:r>
    </w:p>
    <w:p>
      <w:pPr>
        <w:spacing w:after="120"/>
        <w:ind w:firstLine="709"/>
        <w:jc w:val="both"/>
      </w:pPr>
      <w:r>
        <w:rPr>
          <w:rFonts w:ascii="Arial" w:cs="Arial" w:eastAsia="Arial" w:hAnsi="Arial"/>
          <w:sz w:val="24"/>
          <w:szCs w:val="24"/>
        </w:rPr>
        <w:t xml:space="preserve">520. По требованиям о взыскании алиментов и начисленной заработной платы государственная пошлина взимается с должника, о чем указывается в приказе, экземпляр приказа направляется для исполнения.</w:t>
      </w:r>
    </w:p>
    <w:p>
      <w:pPr>
        <w:spacing w:after="120"/>
        <w:ind w:firstLine="709"/>
        <w:jc w:val="both"/>
      </w:pPr>
      <w:r>
        <w:rPr>
          <w:rFonts w:ascii="Arial" w:cs="Arial" w:eastAsia="Arial" w:hAnsi="Arial"/>
          <w:sz w:val="24"/>
          <w:szCs w:val="24"/>
        </w:rPr>
        <w:t xml:space="preserve">521. Квитанция об уплате государственной пошлины возвращается заявителю, о приобщении которой к исковому производству он вправе ходатайствовать в суде. Заявитель вправе отказаться от уплаченной пошлины в доход государства.</w:t>
      </w:r>
    </w:p>
    <w:p>
      <w:pPr>
        <w:spacing w:after="120"/>
        <w:ind w:firstLine="709"/>
        <w:jc w:val="both"/>
      </w:pPr>
      <w:r>
        <w:rPr>
          <w:rFonts w:ascii="Arial" w:cs="Arial" w:eastAsia="Arial" w:hAnsi="Arial"/>
          <w:sz w:val="24"/>
          <w:szCs w:val="24"/>
        </w:rPr>
        <w:t xml:space="preserve">522. В постановлении об отказе в принятии заявления необходимо разъяснить, что устранение недостатков не препятствует заявителю обратиться с новым заявлением о выдаче нотариального приказа либо в суд в порядке искового производства.</w:t>
      </w:r>
    </w:p>
    <w:p>
      <w:pPr>
        <w:spacing w:after="120"/>
        <w:ind w:firstLine="709"/>
        <w:jc w:val="both"/>
      </w:pPr>
      <w:r>
        <w:rPr>
          <w:rFonts w:ascii="Arial" w:cs="Arial" w:eastAsia="Arial" w:hAnsi="Arial"/>
          <w:sz w:val="24"/>
          <w:szCs w:val="24"/>
        </w:rPr>
        <w:t xml:space="preserve">Отложение совершения, а также приостановление нотариального действия по выдаче нотариального приказа не допускается.</w:t>
      </w:r>
    </w:p>
    <w:p>
      <w:pPr>
        <w:spacing w:after="120"/>
        <w:ind w:firstLine="709"/>
        <w:jc w:val="both"/>
      </w:pPr>
      <w:r>
        <w:rPr>
          <w:rFonts w:ascii="Arial" w:cs="Arial" w:eastAsia="Arial" w:hAnsi="Arial"/>
          <w:sz w:val="24"/>
          <w:szCs w:val="24"/>
        </w:rPr>
        <w:t xml:space="preserve">523. Вынесение приказа производится без вызова сторон. Основания для вынесения приказа указываются в приказе со ссылкой на нормативные правовые акты.</w:t>
      </w:r>
    </w:p>
    <w:p>
      <w:pPr>
        <w:spacing w:after="120"/>
        <w:ind w:firstLine="709"/>
        <w:jc w:val="both"/>
      </w:pPr>
      <w:r>
        <w:rPr>
          <w:rFonts w:ascii="Arial" w:cs="Arial" w:eastAsia="Arial" w:hAnsi="Arial"/>
          <w:sz w:val="24"/>
          <w:szCs w:val="24"/>
        </w:rPr>
        <w:t xml:space="preserve">В случае если нотариальный приказ принят в пользу нескольких солидарных должников, то по просьбе взыскателя нотариус выдает несколько экземпляров нотариальных приказов по числу солидарных должников.</w:t>
      </w:r>
    </w:p>
    <w:p>
      <w:pPr>
        <w:spacing w:after="120"/>
        <w:ind w:firstLine="709"/>
        <w:jc w:val="both"/>
      </w:pPr>
      <w:r>
        <w:rPr>
          <w:rFonts w:ascii="Arial" w:cs="Arial" w:eastAsia="Arial" w:hAnsi="Arial"/>
          <w:sz w:val="24"/>
          <w:szCs w:val="24"/>
        </w:rPr>
        <w:t xml:space="preserve">524. Размер суммы долга, государственной пошлины предварительно исчисляется заявителем и проверяется нотариусом.</w:t>
      </w:r>
    </w:p>
    <w:p>
      <w:pPr>
        <w:spacing w:after="120"/>
        <w:ind w:firstLine="709"/>
        <w:jc w:val="both"/>
      </w:pPr>
      <w:r>
        <w:rPr>
          <w:rFonts w:ascii="Arial" w:cs="Arial" w:eastAsia="Arial" w:hAnsi="Arial"/>
          <w:sz w:val="24"/>
          <w:szCs w:val="24"/>
        </w:rPr>
        <w:t xml:space="preserve">525. Копия нотариального приказа не позднее следующего дня со дня вынесения направляется должнику с обратным уведомлением. Нотариус по заявлению обратившегося вправе вручить или передать копию приказа лично или путем реализации иного нотариального действия, предусмотренного </w:t>
      </w:r>
      <w:hyperlink w:history="1" r:id="rIdctwuhjjwcbwbjyk1kpyct">
        <w:r>
          <w:rPr>
            <w:rFonts w:ascii="Arial" w:cs="Arial" w:eastAsia="Arial" w:hAnsi="Arial"/>
            <w:color w:val="1D4ED8"/>
            <w:sz w:val="24"/>
            <w:szCs w:val="24"/>
            <w:u w:val="single"/>
          </w:rPr>
          <w:t xml:space="preserve">статьей 92</w:t>
        </w:r>
      </w:hyperlink>
      <w:r>
        <w:rPr>
          <w:rFonts w:ascii="Arial" w:cs="Arial" w:eastAsia="Arial" w:hAnsi="Arial"/>
          <w:sz w:val="24"/>
          <w:szCs w:val="24"/>
        </w:rPr>
        <w:t xml:space="preserve"> Закона Кыргызской Республики «О нотариате».</w:t>
      </w:r>
    </w:p>
    <w:p>
      <w:pPr>
        <w:spacing w:after="120"/>
        <w:ind w:firstLine="709"/>
        <w:jc w:val="both"/>
      </w:pPr>
      <w:r>
        <w:rPr>
          <w:rFonts w:ascii="Arial" w:cs="Arial" w:eastAsia="Arial" w:hAnsi="Arial"/>
          <w:sz w:val="24"/>
          <w:szCs w:val="24"/>
        </w:rPr>
        <w:t xml:space="preserve">526. Должник в течение десяти дней с даты получения копии приказа вправе подать письменное возражение на нотариальный приказ. Возражение регистрируется в журнале входящей корреспонденции и приобщается к приказному производству. Полученные возражения независимо от мотивов являются основанием для отмены нотариального приказа.</w:t>
      </w:r>
    </w:p>
    <w:p>
      <w:pPr>
        <w:spacing w:after="120"/>
        <w:ind w:firstLine="709"/>
        <w:jc w:val="both"/>
      </w:pPr>
      <w:r>
        <w:rPr>
          <w:rFonts w:ascii="Arial" w:cs="Arial" w:eastAsia="Arial" w:hAnsi="Arial"/>
          <w:sz w:val="24"/>
          <w:szCs w:val="24"/>
        </w:rPr>
        <w:t xml:space="preserve">527. В случае поступления в установленный десятидневный срок возражений должника против заявленных требований нотариус обязан отменить приказ. В этом случае нотариус выносит постановление об отмене приказа и разъясняет взыскателю о его праве обратиться в суд в порядке искового производства.</w:t>
      </w:r>
    </w:p>
    <w:p>
      <w:pPr>
        <w:spacing w:after="120"/>
        <w:ind w:firstLine="709"/>
        <w:jc w:val="both"/>
      </w:pPr>
      <w:r>
        <w:rPr>
          <w:rFonts w:ascii="Arial" w:cs="Arial" w:eastAsia="Arial" w:hAnsi="Arial"/>
          <w:sz w:val="24"/>
          <w:szCs w:val="24"/>
        </w:rPr>
        <w:t xml:space="preserve">Отмена нотариального приказа по заявлению заявителя не допускается.</w:t>
      </w:r>
    </w:p>
    <w:p>
      <w:pPr>
        <w:spacing w:after="120"/>
        <w:ind w:firstLine="709"/>
        <w:jc w:val="both"/>
      </w:pPr>
      <w:r>
        <w:rPr>
          <w:rFonts w:ascii="Arial" w:cs="Arial" w:eastAsia="Arial" w:hAnsi="Arial"/>
          <w:sz w:val="24"/>
          <w:szCs w:val="24"/>
        </w:rPr>
        <w:t xml:space="preserve">528. Копия постановления об отмене нотариального приказа с сопроводительным письмом направляется сторонам приказного производства не позднее трех дней после вынесения.</w:t>
      </w:r>
    </w:p>
    <w:p>
      <w:pPr>
        <w:spacing w:after="120"/>
        <w:ind w:firstLine="709"/>
        <w:jc w:val="both"/>
      </w:pPr>
      <w:r>
        <w:rPr>
          <w:rFonts w:ascii="Arial" w:cs="Arial" w:eastAsia="Arial" w:hAnsi="Arial"/>
          <w:sz w:val="24"/>
          <w:szCs w:val="24"/>
        </w:rPr>
        <w:t xml:space="preserve">529. В электронном реестре производится отметка об отмене нотариального приказа с указанием даты вынесения и исходящего номера. В журнал учета дел приказного производства вносится аналогичная запись в соответствующем номере приказного дела.</w:t>
      </w:r>
    </w:p>
    <w:p>
      <w:pPr>
        <w:spacing w:after="120"/>
        <w:ind w:firstLine="709"/>
        <w:jc w:val="both"/>
      </w:pPr>
      <w:r>
        <w:rPr>
          <w:rFonts w:ascii="Arial" w:cs="Arial" w:eastAsia="Arial" w:hAnsi="Arial"/>
          <w:sz w:val="24"/>
          <w:szCs w:val="24"/>
        </w:rPr>
        <w:t xml:space="preserve">530. В случаях приостановления, прекращения или отзыва лицензии нотариуса на основании </w:t>
      </w:r>
      <w:hyperlink w:history="1" r:id="rIdkd7j_st5dszx8kfgqce_4">
        <w:r>
          <w:rPr>
            <w:rFonts w:ascii="Arial" w:cs="Arial" w:eastAsia="Arial" w:hAnsi="Arial"/>
            <w:color w:val="1D4ED8"/>
            <w:sz w:val="24"/>
            <w:szCs w:val="24"/>
            <w:u w:val="single"/>
          </w:rPr>
          <w:t xml:space="preserve">статей 17</w:t>
        </w:r>
      </w:hyperlink>
      <w:r>
        <w:rPr>
          <w:rFonts w:ascii="Arial" w:cs="Arial" w:eastAsia="Arial" w:hAnsi="Arial"/>
          <w:sz w:val="24"/>
          <w:szCs w:val="24"/>
        </w:rPr>
        <w:t xml:space="preserve"> и </w:t>
      </w:r>
      <w:hyperlink w:history="1" r:id="rIdyvrgimmxx0ohoh4mf-tjj">
        <w:r>
          <w:rPr>
            <w:rFonts w:ascii="Arial" w:cs="Arial" w:eastAsia="Arial" w:hAnsi="Arial"/>
            <w:color w:val="1D4ED8"/>
            <w:sz w:val="24"/>
            <w:szCs w:val="24"/>
            <w:u w:val="single"/>
          </w:rPr>
          <w:t xml:space="preserve">18</w:t>
        </w:r>
      </w:hyperlink>
      <w:r>
        <w:rPr>
          <w:rFonts w:ascii="Arial" w:cs="Arial" w:eastAsia="Arial" w:hAnsi="Arial"/>
          <w:sz w:val="24"/>
          <w:szCs w:val="24"/>
        </w:rPr>
        <w:t xml:space="preserve"> Закона Кыргызской Республики «О нотариате» неоконченные дела приказного производства по решению Нотариальной палаты передаются другому нотариусу.</w:t>
      </w:r>
    </w:p>
    <w:p>
      <w:pPr>
        <w:spacing w:after="120"/>
        <w:ind w:firstLine="709"/>
        <w:jc w:val="both"/>
      </w:pPr>
      <w:r>
        <w:rPr>
          <w:rFonts w:ascii="Arial" w:cs="Arial" w:eastAsia="Arial" w:hAnsi="Arial"/>
          <w:sz w:val="24"/>
          <w:szCs w:val="24"/>
        </w:rPr>
        <w:t xml:space="preserve">531. Если в установленный срок от должника нотариусу не поступят возражения, нотариус выдает или отправляет почтовым заказным отправлением взыскателю экземпляр нотариального приказа, заверенный гербовой печатью.</w:t>
      </w:r>
    </w:p>
    <w:p>
      <w:pPr>
        <w:spacing w:after="120"/>
        <w:ind w:firstLine="709"/>
        <w:jc w:val="both"/>
      </w:pPr>
      <w:r>
        <w:rPr>
          <w:rFonts w:ascii="Arial" w:cs="Arial" w:eastAsia="Arial" w:hAnsi="Arial"/>
          <w:sz w:val="24"/>
          <w:szCs w:val="24"/>
        </w:rPr>
        <w:t xml:space="preserve">532. В реестре регистраций нотариальных действий нотариальный приказ регистрируется на имя взыскателя и в графе «расписка в получении» указываются сведения об отправке – номер и дата квитанции почтового отправления или выданный почтовым отделением штрих-код движения письма.</w:t>
      </w:r>
    </w:p>
    <w:p>
      <w:pPr>
        <w:spacing w:after="120"/>
        <w:ind w:firstLine="709"/>
        <w:jc w:val="both"/>
      </w:pPr>
      <w:r>
        <w:rPr>
          <w:rFonts w:ascii="Arial" w:cs="Arial" w:eastAsia="Arial" w:hAnsi="Arial"/>
          <w:sz w:val="24"/>
          <w:szCs w:val="24"/>
        </w:rPr>
        <w:t xml:space="preserve">533. Нотариус по просьбе взыскателя направляет приказ сопроводительным письмом на исполнение судебному исполнителю с приложением письменной просьбы взыскателя.</w:t>
      </w:r>
    </w:p>
    <w:p>
      <w:pPr>
        <w:spacing w:after="120"/>
        <w:ind w:firstLine="709"/>
        <w:jc w:val="both"/>
      </w:pPr>
      <w:r>
        <w:rPr>
          <w:rFonts w:ascii="Arial" w:cs="Arial" w:eastAsia="Arial" w:hAnsi="Arial"/>
          <w:sz w:val="24"/>
          <w:szCs w:val="24"/>
        </w:rPr>
        <w:t xml:space="preserve">534. Для взыскания государственной пошлины с должника в доход государства нотариусом для исполнения в уполномоченный орган направляется экземпляр нотариального приказа.</w:t>
      </w:r>
    </w:p>
    <w:p>
      <w:pPr>
        <w:spacing w:after="120"/>
        <w:ind w:firstLine="709"/>
        <w:jc w:val="both"/>
      </w:pPr>
      <w:r>
        <w:rPr>
          <w:rFonts w:ascii="Arial" w:cs="Arial" w:eastAsia="Arial" w:hAnsi="Arial"/>
          <w:sz w:val="24"/>
          <w:szCs w:val="24"/>
        </w:rPr>
        <w:t xml:space="preserve">535. Заявление о возврате государственной пошлины направляется в Министерство юстиции Кыргызской Республики с приложением копии нотариального приказа и постановления об его отмене.</w:t>
      </w:r>
    </w:p>
    <w:p>
      <w:pPr>
        <w:spacing w:after="120"/>
        <w:ind w:firstLine="709"/>
        <w:jc w:val="both"/>
      </w:pPr>
      <w:r>
        <w:rPr>
          <w:rFonts w:ascii="Arial" w:cs="Arial" w:eastAsia="Arial" w:hAnsi="Arial"/>
          <w:sz w:val="24"/>
          <w:szCs w:val="24"/>
        </w:rPr>
        <w:t xml:space="preserve">536. Постановление об отказе в принятии заявления, об отмене нотариального приказа, постановление об отказе в отмене нотариального приказа не являются самостоятельными нотариальными действиями. В постановлении указывается ссылка на номер, год приказного дела и уникальный номер нотариального действия (нотариального приказа), присвоенный электронной системой.</w:t>
      </w:r>
    </w:p>
    <w:p>
      <w:pPr>
        <w:spacing w:after="120"/>
        <w:ind w:firstLine="709"/>
        <w:jc w:val="both"/>
      </w:pPr>
      <w:r>
        <w:rPr>
          <w:rFonts w:ascii="Arial" w:cs="Arial" w:eastAsia="Arial" w:hAnsi="Arial"/>
          <w:sz w:val="24"/>
          <w:szCs w:val="24"/>
        </w:rPr>
        <w:t xml:space="preserve">537. Постановление состоит из трех частей: вводной, описательной и резолютивной. В вводной части указываются полные данные нотариуса, в описательной части – существо требования и ссылка на материальное и процессуальное право, резолюция выражается в форме «постановил». В резолютивной части нотариус прописывает полные и точные данные взыскателя и должника, размер денежных сумм, сумму государственной пошлины, ошибка в которых может послужить основанием для исполнительного органа о возврате.</w:t>
      </w:r>
    </w:p>
    <w:p>
      <w:pPr>
        <w:spacing w:after="120"/>
        <w:ind w:firstLine="709"/>
        <w:jc w:val="both"/>
      </w:pPr>
      <w:r>
        <w:rPr>
          <w:rFonts w:ascii="Arial" w:cs="Arial" w:eastAsia="Arial" w:hAnsi="Arial"/>
          <w:sz w:val="24"/>
          <w:szCs w:val="24"/>
        </w:rPr>
        <w:t xml:space="preserve">Если в нотариальном приказе допущены явные описки или явные арифметические и иные технические ошибки, нотариус выносит постановление о внесении изменений в нотариальный приказ. Постановление сканируется и прикрепляется в ЕИСН, копия подшивается в дело приказного производства.</w:t>
      </w:r>
    </w:p>
    <w:p>
      <w:pPr>
        <w:spacing w:after="120"/>
        <w:ind w:firstLine="709"/>
        <w:jc w:val="both"/>
      </w:pPr>
      <w:r>
        <w:rPr>
          <w:rFonts w:ascii="Arial" w:cs="Arial" w:eastAsia="Arial" w:hAnsi="Arial"/>
          <w:sz w:val="24"/>
          <w:szCs w:val="24"/>
        </w:rPr>
        <w:t xml:space="preserve">538. Квитанция, заявления, приказ, постановление о возврате государственной пошлины, уведомления, переписка и иные документы формируются в дело приказного производства.».</w:t>
      </w:r>
    </w:p>
    <w:p>
      <w:pPr>
        <w:spacing w:after="120"/>
        <w:ind w:firstLine="709"/>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r>
        <w:rPr>
          <w:rFonts w:ascii="Arial" w:cs="Arial" w:eastAsia="Arial" w:hAnsi="Arial"/>
          <w:sz w:val="28"/>
          <w:szCs w:val="28"/>
        </w:rPr>
        <w:t xml:space="preserve">.</w:t>
      </w:r>
    </w:p>
    <w:p>
      <w:pPr>
        <w:spacing w:after="120"/>
        <w:jc w:val="both"/>
      </w:pPr>
      <w:r>
        <w:rPr>
          <w:rFonts w:ascii="Arial" w:cs="Arial" w:eastAsia="Arial" w:hAnsi="Arial"/>
          <w:i/>
          <w:iCs/>
          <w:sz w:val="24"/>
          <w:szCs w:val="24"/>
        </w:rPr>
        <w:t xml:space="preserve">Опубликован в официальной государственной газете "Эркин Тоо" от 7 октября 2025 года № 76 (3732)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ya75pnkmiwsmk2pi25lr">
      <w:r>
        <w:rPr>
          <w:rFonts w:ascii="Arial" w:cs="Arial" w:eastAsia="Arial" w:hAnsi="Arial"/>
          <w:color w:val="132D3F"/>
          <w:sz w:val="16"/>
          <w:szCs w:val="16"/>
          <w:u w:val="single"/>
        </w:rPr>
        <w:t xml:space="preserve">dalil.kg/document/230031994</w:t>
      </w:r>
    </w:hyperlink>
  </w:p>
  <w:p>
    <w:pPr>
      <w:spacing w:after="0" w:before="40"/>
      <w:jc w:val="center"/>
    </w:pPr>
    <w:hyperlink w:history="1" r:id="rIdf6n6457u0iuyvrbz-gcq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7zjqbsrdyy-9bzij2xwb" Type="http://schemas.openxmlformats.org/officeDocument/2006/relationships/hyperlink" Target="https://dalil.kg/document/112540#g15_1" TargetMode="External"/><Relationship Id="rId9eaotw_y2f6ehhkspklow" Type="http://schemas.openxmlformats.org/officeDocument/2006/relationships/hyperlink" Target="https://dalil.kg/document/112301#st_13" TargetMode="External"/><Relationship Id="rIdfaqgjvkwbxw7japar6drc" Type="http://schemas.openxmlformats.org/officeDocument/2006/relationships/hyperlink" Target="https://dalil.kg/document/112301#st_17" TargetMode="External"/><Relationship Id="rId8sxjyhnpfkpgwidwmqhh6" Type="http://schemas.openxmlformats.org/officeDocument/2006/relationships/hyperlink" Target="https://dalil.kg/document/230000478" TargetMode="External"/><Relationship Id="rIdvqaazt8j3rurqwgyqqdk7" Type="http://schemas.openxmlformats.org/officeDocument/2006/relationships/hyperlink" Target="https://dalil.kg/document/230000479" TargetMode="External"/><Relationship Id="rIdciwhexmbeukmeojobfaln" Type="http://schemas.openxmlformats.org/officeDocument/2006/relationships/hyperlink" Target="https://dalil.kg/document/230000478" TargetMode="External"/><Relationship Id="rId_zdnez0hbntfyuwepu8xu" Type="http://schemas.openxmlformats.org/officeDocument/2006/relationships/hyperlink" Target="https://dalil.kg/document/4#st_270" TargetMode="External"/><Relationship Id="rIdllxrsuylenjhqikwfmtmo" Type="http://schemas.openxmlformats.org/officeDocument/2006/relationships/hyperlink" Target="https://dalil.kg/document/4" TargetMode="External"/><Relationship Id="rId44jv-aypyylcqctzn3drd" Type="http://schemas.openxmlformats.org/officeDocument/2006/relationships/hyperlink" Target="https://dalil.kg/document/1327" TargetMode="External"/><Relationship Id="rId9y-j-djco53ozshg9uveg" Type="http://schemas.openxmlformats.org/officeDocument/2006/relationships/hyperlink" Target="https://dalil.kg/document/350" TargetMode="External"/><Relationship Id="rIdqh2bpj41-qm0-yqbnsbc4" Type="http://schemas.openxmlformats.org/officeDocument/2006/relationships/hyperlink" Target="https://dalil.kg/document/230000918" TargetMode="External"/><Relationship Id="rIdfessb6zzuxs3kbuz36elu" Type="http://schemas.openxmlformats.org/officeDocument/2006/relationships/hyperlink" Target="https://dalil.kg/document/203700" TargetMode="External"/><Relationship Id="rIdenhkfs3iafv5ce1sb3tgi" Type="http://schemas.openxmlformats.org/officeDocument/2006/relationships/hyperlink" Target="https://dalil.kg/document/112540" TargetMode="External"/><Relationship Id="rIdakd71c_m6oioab5l3xvat" Type="http://schemas.openxmlformats.org/officeDocument/2006/relationships/hyperlink" Target="https://dalil.kg/document/112540#st_100_4" TargetMode="External"/><Relationship Id="rIdmkxxp25mnvlxs7yg6b7or" Type="http://schemas.openxmlformats.org/officeDocument/2006/relationships/hyperlink" Target="https://dalil.kg/document/112540#st_100_5" TargetMode="External"/><Relationship Id="rId_n7cipmpiwf8kakoujuqw" Type="http://schemas.openxmlformats.org/officeDocument/2006/relationships/hyperlink" Target="https://dalil.kg/document/112540#st_100_2" TargetMode="External"/><Relationship Id="rIdctwuhjjwcbwbjyk1kpyct" Type="http://schemas.openxmlformats.org/officeDocument/2006/relationships/hyperlink" Target="https://dalil.kg/document/112540#st_92" TargetMode="External"/><Relationship Id="rIdkd7j_st5dszx8kfgqce_4" Type="http://schemas.openxmlformats.org/officeDocument/2006/relationships/hyperlink" Target="https://dalil.kg/document/112540#st_17" TargetMode="External"/><Relationship Id="rIdyvrgimmxx0ohoh4mf-tjj" Type="http://schemas.openxmlformats.org/officeDocument/2006/relationships/hyperlink" Target="https://dalil.kg/document/112540#st_18"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ya75pnkmiwsmk2pi25lr" Type="http://schemas.openxmlformats.org/officeDocument/2006/relationships/hyperlink" Target="https://dalil.kg/document/230031994" TargetMode="External"/><Relationship Id="rIdf6n6457u0iuyvrbz-gcq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2026-09-25T17:53:31.992Z</dcterms:created>
  <dcterms:modified xsi:type="dcterms:W3CDTF">2026-09-25T17:53:31.992Z</dcterms:modified>
</cp:coreProperties>
</file>

<file path=docProps/custom.xml><?xml version="1.0" encoding="utf-8"?>
<Properties xmlns="http://schemas.openxmlformats.org/officeDocument/2006/custom-properties" xmlns:vt="http://schemas.openxmlformats.org/officeDocument/2006/docPropsVTypes"/>
</file>