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662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</w:t>
      </w:r>
      <w:r>
        <w:rPr>
          <w:rFonts w:ascii="Arial" w:cs="Arial" w:eastAsia="Arial" w:hAnsi="Arial"/>
          <w:sz w:val="24"/>
          <w:szCs w:val="24"/>
        </w:rPr>
        <w:t xml:space="preserve"> в постановление Кабинета Министров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«Об утверждении Положения о порядке ведения специального учета юридических лиц и индивидуальных предпринимателей, осуществляющих операции с драгоценными металлами и драгоценными камнями на территории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Республики» от 3 декабря 2021 года № 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цифрового регулирования операций с драгоценными металлами и драгоценными камнями, направленного на создание комфортных условий для граждан, в соответствии со статьями </w:t>
      </w:r>
      <w:hyperlink w:history="1" r:id="rId89x0lf9v2zzq2ceduke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mwm82gd34vnptfceqg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iaktrszq79tt2krh3s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порядке ведения специального учета юридических лиц и индивидуальных предпринимателей, осуществляющих операции с драгоценными металлами и драгоценными камнями на территории Кыргызской Республики» от 3 декабря 2021 года № 292 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esnwx_kxzkdo0_-7lh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специального учета юридических лиц и индивидуальных предпринимателей, осуществляющих операции с драгоценными металлами и драгоценными камнями, утвержденном вышеуказанным </w:t>
      </w:r>
      <w:hyperlink w:history="1" r:id="rIddr2_gayg0idyjmyhopm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7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заявление о постановке на специальный учет в произвольной форме, подписанное руководителем юридического лица или индивидуальным предпринимателем;»;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«10. Документы представляются в уполномоченный государственный орган уполномоченным лицом (руководителем, предпринимателем).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указанные в пункте 7 настоящего Положения, представляются в уполномоченный государственный орган в электронном формате через государственный портал электронных услуг.»;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«18. Уполномоченный государственный орган в течение 15 календарных дней со дня принятия решения о снятии со специального учета вручает уведомление о снятии со специального учета по форме, утверждаемой уполномоченным государственным органом в форме электронного документа, подписанного электронной подписью.».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октября 2025 года № 79 (3735)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k2lhn9shdasyq6s6h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dalil.kg/document/230032983</w:t>
      </w:r>
    </w:hyperlink>
  </w:p>
  <w:p>
    <w:pPr>
      <w:spacing w:after="0" w:before="40"/>
      <w:jc w:val="center"/>
    </w:pPr>
    <w:hyperlink w:history="1" r:id="rIdoor1iglahoenusvsyvo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9x0lf9v2zzq2cedukek4" Type="http://schemas.openxmlformats.org/officeDocument/2006/relationships/hyperlink" Target="https://dalil.kg/document/112301#st_13" TargetMode="External"/><Relationship Id="rIdemwm82gd34vnptfceqgeu" Type="http://schemas.openxmlformats.org/officeDocument/2006/relationships/hyperlink" Target="https://dalil.kg/document/112301#st_17" TargetMode="External"/><Relationship Id="rIdpiaktrszq79tt2krh3snm" Type="http://schemas.openxmlformats.org/officeDocument/2006/relationships/hyperlink" Target="https://dalil.kg/document/218746" TargetMode="External"/><Relationship Id="rId6esnwx_kxzkdo0_-7lh1n" Type="http://schemas.openxmlformats.org/officeDocument/2006/relationships/hyperlink" Target="https://dalil.kg/document/158769" TargetMode="External"/><Relationship Id="rIddr2_gayg0idyjmyhopmdb" Type="http://schemas.openxmlformats.org/officeDocument/2006/relationships/hyperlink" Target="https://dalil.kg/document/21874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k2lhn9shdasyq6s6haa" Type="http://schemas.openxmlformats.org/officeDocument/2006/relationships/hyperlink" Target="https://dalil.kg/document/230032983" TargetMode="External"/><Relationship Id="rIdoor1iglahoenusvsyvo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2026-09-25T18:28:45.491Z</dcterms:created>
  <dcterms:modified xsi:type="dcterms:W3CDTF">2026-09-25T18:28:45.491Z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