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pucovq5nti9ysrwymky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июля 2026 года № 458</w:t>
      </w:r>
    </w:p>
    <w:p>
      <w:pPr>
        <w:spacing w:after="36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июля 2025 года № 443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прогнозе социально-экономического развития </w:t>
      </w:r>
    </w:p>
    <w:p>
      <w:pPr>
        <w:spacing w:after="240" w:before="200"/>
        <w:jc w:val="center"/>
      </w:pPr>
      <w:r>
        <w:rPr>
          <w:rFonts w:ascii="Arial" w:cs="Arial" w:eastAsia="Arial" w:hAnsi="Arial"/>
          <w:b/>
          <w:bCs/>
          <w:sz w:val="28"/>
          <w:szCs w:val="28"/>
        </w:rPr>
        <w:t xml:space="preserve">Кыргызской Республики на 2026–2030 годы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среднесрочный период, в соответствии со </w:t>
      </w:r>
      <w:hyperlink w:history="1" r:id="rIdrkwrkwxlsmqlxconi7g7b">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Бюджетного кодекса Кыргызской Республики, статьями </w:t>
      </w:r>
      <w:hyperlink w:history="1" r:id="rIdvffjgbgw1d-gh5axpts9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aqlr092_r7qfus7vpgc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Утвердить Прогноз социально-экономического развития Кыргызской Республики на 2026–2030 годы согласно </w:t>
      </w:r>
      <w:hyperlink w:history="1" r:id="rIdttsxxsmr4zxu0ypnbwowx">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Министерству финансов Кыргызской Республики при формировании Основных направлений фискальной политики Кыргызской Республики на 2026–2030 годы принять за основу утвержденные макроэкономические параметры развития Кыргызской Республики на 2026–2030 годы.</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Государственным органам исполнительной власти, </w:t>
      </w:r>
      <w:r>
        <w:rPr>
          <w:rFonts w:ascii="Arial" w:cs="Arial" w:eastAsia="Arial" w:hAnsi="Arial"/>
          <w:sz w:val="24"/>
          <w:szCs w:val="24"/>
        </w:rPr>
        <w:t xml:space="preserve">полномочным представителям Президента Кыргызской Республики в областях</w:t>
      </w:r>
      <w:r>
        <w:rPr>
          <w:rFonts w:ascii="Arial" w:cs="Arial" w:eastAsia="Arial" w:hAnsi="Arial"/>
          <w:sz w:val="24"/>
          <w:szCs w:val="24"/>
        </w:rPr>
        <w:t xml:space="preserve">, мэриям городов Бишкек и Ош, Национальному агентству по инвестициям при Президенте Кыргызской Республики, Национальному банку Кыргызской Республики (по согласованию):</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осуществлять мониторинг выполнения целевых показателей социально-экономического развития Кыргызской Республики и ежемесячно, не позднее 15 числа месяца, следующего за отчетным периодом, предоставлять в Министерство экономики и коммерции Кыргызской Республики информацию о ходе выполнения целевых показателей социально-экономического развития Кыргызской Республики; </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принять исчерпывающие меры по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 </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Министерству экономики и коммерции Кыргызской Республики: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предоставлять в Администрацию Президента Кыргызской Республики информацию о выполнении целевых показателей социально-экономического развития Кыргызской Республики за отчетный период не позднее 30 числа месяца, следующего за отчетным периодом;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опубликовать Прогноз социально-экономического развития Кыргызской Республики на 2026–2030 годы на официальном веб-сайте Министерства экономики и коммерции Кыргызской Республики.</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Признать утратившим силу </w:t>
      </w:r>
      <w:hyperlink w:history="1" r:id="rIdpywoh32oryvwg7j8z2d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прогнозе социально-экономического развития Кыргызской Республики на 2025–2029 годы» от 1 июля 2024 года № 344.</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spacing w:after="120"/>
        <w:ind w:firstLine="142"/>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Прогноз
 социально-экономического развития Кыргызской Республики на 2026-2030 годы</w:t>
      </w:r>
    </w:p>
    <w:p>
      <w:pPr>
        <w:spacing w:after="240" w:before="200"/>
        <w:jc w:val="center"/>
      </w:pPr>
      <w:r>
        <w:rPr>
          <w:rFonts w:ascii="Arial" w:cs="Arial" w:eastAsia="Arial" w:hAnsi="Arial"/>
          <w:b/>
          <w:bCs/>
          <w:sz w:val="24"/>
          <w:szCs w:val="24"/>
        </w:rPr>
        <w:t xml:space="preserve">Глава 1. Основные положения</w:t>
      </w:r>
    </w:p>
    <w:p>
      <w:pPr>
        <w:spacing w:after="120"/>
        <w:ind w:firstLine="567"/>
        <w:jc w:val="both"/>
      </w:pPr>
      <w:r>
        <w:rPr>
          <w:rFonts w:ascii="Arial" w:cs="Arial" w:eastAsia="Arial" w:hAnsi="Arial"/>
          <w:sz w:val="24"/>
          <w:szCs w:val="24"/>
        </w:rPr>
        <w:t xml:space="preserve">Целью Прогноза социально-экономического развития Кыргызской Республики на 2026-2030 годы (далее - Прогноз) является определение количественных ориентиров и параметров макроэкономического развития на среднесрочный период на основе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120"/>
        <w:ind w:firstLine="567"/>
        <w:jc w:val="both"/>
      </w:pPr>
      <w:r>
        <w:rPr>
          <w:rFonts w:ascii="Arial" w:cs="Arial" w:eastAsia="Arial" w:hAnsi="Arial"/>
          <w:sz w:val="24"/>
          <w:szCs w:val="24"/>
        </w:rPr>
        <w:t xml:space="preserve">В Прогнозе определены основные направления развития ключевых отраслей экономики на 2026 год и перспективы развития экономики страны на 2027-2030 годы, построенные на базе официальных прогнозов отраслевых министерств, ведомств и регионов.</w:t>
      </w:r>
    </w:p>
    <w:p>
      <w:pPr>
        <w:spacing w:after="120"/>
        <w:ind w:firstLine="567"/>
        <w:jc w:val="both"/>
      </w:pPr>
      <w:r>
        <w:rPr>
          <w:rFonts w:ascii="Arial" w:cs="Arial" w:eastAsia="Arial" w:hAnsi="Arial"/>
          <w:sz w:val="24"/>
          <w:szCs w:val="24"/>
        </w:rPr>
        <w:t xml:space="preserve">Прогноз является основой для разработки Основных направлений фискальной политики Кыргызской Республики на 2026-2030 годы и формирования проекта Закона Кыргызской Республики "О республиканском бюджете Кыргызской Республики на 2026 год и плановый период 2027-2028 годов".</w:t>
      </w:r>
    </w:p>
    <w:p>
      <w:pPr>
        <w:spacing w:after="240" w:before="200"/>
        <w:jc w:val="center"/>
      </w:pPr>
      <w:r>
        <w:rPr>
          <w:rFonts w:ascii="Arial" w:cs="Arial" w:eastAsia="Arial" w:hAnsi="Arial"/>
          <w:b/>
          <w:bCs/>
          <w:sz w:val="24"/>
          <w:szCs w:val="24"/>
        </w:rPr>
        <w:t xml:space="preserve">Глава 2. Основные тенденции социально-экономического развития Кыргызской Республики в 2024 году и январе-марте 2025 года</w:t>
      </w:r>
    </w:p>
    <w:p>
      <w:pPr>
        <w:spacing w:after="240" w:before="200"/>
        <w:jc w:val="center"/>
      </w:pPr>
      <w:r>
        <w:rPr>
          <w:rFonts w:ascii="Arial" w:cs="Arial" w:eastAsia="Arial" w:hAnsi="Arial"/>
          <w:b/>
          <w:bCs/>
          <w:sz w:val="24"/>
          <w:szCs w:val="24"/>
        </w:rPr>
        <w:t xml:space="preserve">§ 1. Краткие итоги 2024 года</w:t>
      </w:r>
    </w:p>
    <w:p>
      <w:pPr>
        <w:spacing w:after="120"/>
        <w:ind w:firstLine="567"/>
        <w:jc w:val="both"/>
      </w:pPr>
      <w:r>
        <w:rPr>
          <w:rFonts w:ascii="Arial" w:cs="Arial" w:eastAsia="Arial" w:hAnsi="Arial"/>
          <w:sz w:val="24"/>
          <w:szCs w:val="24"/>
        </w:rPr>
        <w:t xml:space="preserve">Целенаправленная экономическая политика Кабинета Министров Кыргызской Республики, ориентированная на стимулирование экономической активности, поддержку стратегических отраслей, модернизацию инфраструктуры, улучшение инвестиционного климата и конкурентной среды обеспечила устойчивый рост и укрепление ключевых макроэкономических показателей.</w:t>
      </w:r>
    </w:p>
    <w:p>
      <w:pPr>
        <w:spacing w:after="12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январь-декабрь 2024 года объем валового внутреннего продукта (далее - ВВП) сложился в сумме 1523,2 млрд. сомов, и реальный темп роста составил 109,0% (за 2023 год - 109,0%).</w:t>
      </w:r>
    </w:p>
    <w:p>
      <w:pPr>
        <w:spacing w:after="120"/>
        <w:ind w:firstLine="567"/>
        <w:jc w:val="both"/>
      </w:pPr>
      <w:r>
        <w:rPr>
          <w:rFonts w:ascii="Arial" w:cs="Arial" w:eastAsia="Arial" w:hAnsi="Arial"/>
          <w:sz w:val="24"/>
          <w:szCs w:val="24"/>
        </w:rPr>
        <w:t xml:space="preserve">Во всех секторах экономики обеспечена положительная динамика, и показатели сложились следующим образом: в строительстве объемы производства возросли на 18,0%, сфере услуг - на 9,3%, промышленности - на 5,6%, сельском хозяйстве - на 6,3%.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Структура и темпы роста по секторам, формирующим ВВП(1)</w:t>
      </w:r>
    </w:p>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 отдельных государствах-членах ЕАЭС наблюдалось усиление инфляционного давления, обусловленное рядом внутренних факторов. Ключевыми причинами стали рост внутреннего спроса, сокращение импорта вследствие расширения санкционных ограничений, роста издержек, связанных с внешнеэкономической деятельностью, перебоев в цепочках поставок, а также сложности с проведением международных платежей.</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Индекс потребительских цен в государствах-членах ЕАЭС
 в 2023-2024 годах (в % к декабрю предыдущего года)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4"/>
        <w:gridCol w:w="5203"/>
        <w:gridCol w:w="2055"/>
        <w:gridCol w:w="2055"/>
      </w:tblGrid>
      <w:tr>
        <w:tc>
          <w:tcPr>
            <w:tcW w:type="dxa" w:w="8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2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Страны</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107,3</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106,3</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 2. Текущая ситуация - итоги за январь-март 2025 года</w:t>
      </w:r>
    </w:p>
    <w:p>
      <w:pPr>
        <w:spacing w:after="120"/>
        <w:ind w:firstLine="567"/>
        <w:jc w:val="both"/>
      </w:pPr>
      <w:r>
        <w:rPr>
          <w:rFonts w:ascii="Arial" w:cs="Arial" w:eastAsia="Arial" w:hAnsi="Arial"/>
          <w:sz w:val="24"/>
          <w:szCs w:val="24"/>
        </w:rPr>
        <w:t xml:space="preserve">С начала 2025 года экономический рост в целом продолжает демонстрировать высокий уровень, с ежемесячным ростом в среднем на 11,5%, и показывает устойчивую положительную динамику. Структурная адаптация к изменившимся внешним условиям, рост внутреннего спроса и инвестиционная активность способствуют экономическому росту.</w:t>
      </w:r>
    </w:p>
    <w:p>
      <w:pPr>
        <w:spacing w:after="12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январь-март 2025 года объем ВВП сложился в сумме 329,1 млрд. сомов и реальный темп роста составил 113,1% (за январь-март 2024 года - 110,0%).</w:t>
      </w:r>
    </w:p>
    <w:p>
      <w:pPr>
        <w:spacing w:after="120"/>
        <w:ind w:firstLine="567"/>
        <w:jc w:val="both"/>
      </w:pPr>
      <w:r>
        <w:rPr>
          <w:rFonts w:ascii="Arial" w:cs="Arial" w:eastAsia="Arial" w:hAnsi="Arial"/>
          <w:sz w:val="24"/>
          <w:szCs w:val="24"/>
        </w:rPr>
        <w:t xml:space="preserve">В секторах экономики показатели сложились следующим образом: в промышленности объемы производства возросли на 16,0%, сфере услуг - на 8,7%, строительстве - на 69,0%, сельском хозяйстве - на 2,5%.</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4</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Структура и темпы роста по секторам, формирующим ВВП(2)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6"/>
        <w:gridCol w:w="1095"/>
        <w:gridCol w:w="1095"/>
        <w:gridCol w:w="1095"/>
        <w:gridCol w:w="1172"/>
        <w:gridCol w:w="1172"/>
        <w:gridCol w:w="1172"/>
        <w:gridCol w:w="1172"/>
      </w:tblGrid>
      <w:tr>
        <w:tc>
          <w:tcPr>
            <w:tcW w:type="dxa" w:w="22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28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2024 года</w:t>
            </w:r>
          </w:p>
        </w:tc>
        <w:tc>
          <w:tcPr>
            <w:tcW w:type="dxa" w:w="46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2025 года</w:t>
            </w:r>
          </w:p>
        </w:tc>
      </w:tr>
      <w:tr>
        <w:tc>
          <w:tcPr>
            <w:vMerge w:val="continue"/>
            <w:tcBorders>
              <w:top w:val="single" w:color="CBBF9E" w:sz="4"/>
              <w:left w:val="single" w:color="CBBF9E" w:sz="4"/>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 (млн. сомов)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 (млн. сомов)</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п.п.</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268280,3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329126,5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113,1</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49795,1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68340,4</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12385,2</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13738,6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21564,8</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144367,3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167993,2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49900,1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57489,5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r>
    </w:tbl>
    <w:p>
      <w:pPr>
        <w:spacing w:after="120" w:before="120"/>
        <w:ind w:firstLine="567"/>
        <w:jc w:val="both"/>
      </w:pPr>
      <w:r>
        <w:rPr>
          <w:rFonts w:ascii="Arial" w:cs="Arial" w:eastAsia="Arial" w:hAnsi="Arial"/>
          <w:sz w:val="24"/>
          <w:szCs w:val="24"/>
        </w:rPr>
        <w:t xml:space="preserve">Сфера услуг по-прежнему занимает доминирующую долю в структуре ВВП, обеспечив наибольший вклад в экономический рост за счет увеличения объемов оборота оптовой и розничной торговли, ремонта автомобилей и мотоциклов на 17,5%, транспортной деятельности и хранение грузов - на 7,9% и услуг связи - на 9,9%, услуг, предоставленных гостиницами и ресторанами - на 26,4%. Увеличение чистого притока денежных переводов (за 2024 год на 18,6%, за январь-февраль 2025 года на 15,5%), доходов населения (повышение заработной платы, размера пенсий, социальных выплат, расширение производства сельскохозяйственной продукции в домашних хозяйствах и др.) оказывает поддержку внутреннему спросу.</w:t>
      </w:r>
    </w:p>
    <w:p>
      <w:pPr>
        <w:spacing w:after="120"/>
        <w:ind w:firstLine="567"/>
        <w:jc w:val="both"/>
      </w:pPr>
      <w:r>
        <w:rPr>
          <w:rFonts w:ascii="Arial" w:cs="Arial" w:eastAsia="Arial" w:hAnsi="Arial"/>
          <w:sz w:val="24"/>
          <w:szCs w:val="24"/>
        </w:rPr>
        <w:t xml:space="preserve">Рост объемов в строительном секторе на 69,0% обусловлен вводом объектов жилищного строительства в рамках программы "Менин үйүм", модернизацией сетей, включая строительство новых базовых станций, операторов мобильной связи Кыргызской Республики, развитием городской инфраструктуры мэрией города Бишкек и др.</w:t>
      </w:r>
    </w:p>
    <w:p>
      <w:pPr>
        <w:spacing w:after="120"/>
        <w:ind w:firstLine="567"/>
        <w:jc w:val="both"/>
      </w:pPr>
      <w:r>
        <w:rPr>
          <w:rFonts w:ascii="Arial" w:cs="Arial" w:eastAsia="Arial" w:hAnsi="Arial"/>
          <w:sz w:val="24"/>
          <w:szCs w:val="24"/>
        </w:rPr>
        <w:t xml:space="preserve">За январь-март 2025 года объем инвестиций в основной капитал за счет всех источников финансирования увеличился в 1,9 раза и составил 56,8 млрд. сомов, при этом объем инвестиций за счет внутренних источников финансирования увеличился в 2,1 раза, в то время как объем внешних источников, напротив, снизился в 1,5 раза.</w:t>
      </w:r>
    </w:p>
    <w:p>
      <w:pPr>
        <w:spacing w:after="120"/>
        <w:ind w:firstLine="567"/>
        <w:jc w:val="both"/>
      </w:pPr>
      <w:r>
        <w:rPr>
          <w:rFonts w:ascii="Arial" w:cs="Arial" w:eastAsia="Arial" w:hAnsi="Arial"/>
          <w:sz w:val="24"/>
          <w:szCs w:val="24"/>
        </w:rPr>
        <w:t xml:space="preserve">Промышленный сектор также демонстрирует значительный рост, по итогам за январь-март 2025 года объем производства промышленной продукции увеличился на 16,3%, что существенно выше показателя аналогичного периода 2024 года, при этом объем производства промышленной продукции без золота - на 24,3%. Основу роста составили отрасли обрабатывающего производства, включая производство основных металлов (на 3,2%), нефтепродуктов (в 1,9 раза), пищевых продуктов (включая напитки) (в 1,7 раза), фармацевтической продукции (на 41,7%), строительных материалов (на 38,2%).</w:t>
      </w:r>
    </w:p>
    <w:p>
      <w:pPr>
        <w:spacing w:after="120"/>
        <w:ind w:firstLine="567"/>
        <w:jc w:val="both"/>
      </w:pPr>
      <w:r>
        <w:rPr>
          <w:rFonts w:ascii="Arial" w:cs="Arial" w:eastAsia="Arial" w:hAnsi="Arial"/>
          <w:sz w:val="24"/>
          <w:szCs w:val="24"/>
        </w:rPr>
        <w:t xml:space="preserve">Сельское хозяйство также сохраняет положительную динамику: за январь-март 2025 года темп реального роста к уровню аналогичного периода 2024 года составил 102,5%. Рост объемов валового выпуска сельскохозяйственной продукции, в основном, обеспечен увеличением производства продукции животноводства на 2,5% за счет увеличения производства яиц на 9,6%, молока - на 1,2% и мяса - на 2,7%.</w:t>
      </w:r>
    </w:p>
    <w:p>
      <w:pPr>
        <w:spacing w:after="120"/>
        <w:ind w:firstLine="567"/>
        <w:jc w:val="both"/>
      </w:pPr>
      <w:r>
        <w:rPr>
          <w:rFonts w:ascii="Arial" w:cs="Arial" w:eastAsia="Arial" w:hAnsi="Arial"/>
          <w:sz w:val="24"/>
          <w:szCs w:val="24"/>
        </w:rPr>
        <w:t xml:space="preserve">Индекс потребительских цен в Кыргызской Республике составил 101,8% (март 2025 года к декабрю предыдущего года). Среднегодовое значение инфляции (январь-март 2025 года к январю-марту 2024 года) составило 106,9%.</w:t>
      </w:r>
    </w:p>
    <w:p>
      <w:pPr>
        <w:spacing w:after="120"/>
        <w:ind w:firstLine="567"/>
        <w:jc w:val="both"/>
      </w:pPr>
      <w:r>
        <w:rPr>
          <w:rFonts w:ascii="Arial" w:cs="Arial" w:eastAsia="Arial" w:hAnsi="Arial"/>
          <w:sz w:val="24"/>
          <w:szCs w:val="24"/>
        </w:rPr>
        <w:t xml:space="preserve">По итогам за январь-февраль 2025 года наблюдается положительная динамика экономического роста во всех государствах-членах ЕАЭС.</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Темпы реального прироста ВВП в государствах-членах ЕАЭС</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9"/>
        <w:gridCol w:w="3905"/>
        <w:gridCol w:w="3905"/>
      </w:tblGrid>
      <w:tr>
        <w:tc>
          <w:tcPr>
            <w:tcW w:type="dxa" w:w="23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Страны</w:t>
            </w:r>
          </w:p>
        </w:tc>
        <w:tc>
          <w:tcPr>
            <w:tcW w:type="dxa" w:w="39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январь-февраль 2024 года, предв. факт, %</w:t>
            </w:r>
          </w:p>
        </w:tc>
        <w:tc>
          <w:tcPr>
            <w:tcW w:type="dxa" w:w="39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январь-февраль 2025 года, предв. факт, %</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before="120"/>
        <w:ind w:firstLine="567"/>
        <w:jc w:val="both"/>
      </w:pPr>
      <w:r>
        <w:rPr>
          <w:rFonts w:ascii="Arial" w:cs="Arial" w:eastAsia="Arial" w:hAnsi="Arial"/>
          <w:sz w:val="24"/>
          <w:szCs w:val="24"/>
        </w:rPr>
        <w:t xml:space="preserve">(1) - показатель экономической активности;</w:t>
      </w:r>
    </w:p>
    <w:p>
      <w:pPr>
        <w:spacing w:after="120"/>
        <w:ind w:firstLine="567"/>
        <w:jc w:val="both"/>
      </w:pPr>
      <w:r>
        <w:rPr>
          <w:rFonts w:ascii="Arial" w:cs="Arial" w:eastAsia="Arial" w:hAnsi="Arial"/>
          <w:sz w:val="24"/>
          <w:szCs w:val="24"/>
        </w:rPr>
        <w:t xml:space="preserve">(2) - краткосрочный экономический индикатор.</w:t>
      </w:r>
    </w:p>
    <w:p>
      <w:pPr>
        <w:spacing w:after="120"/>
        <w:ind w:firstLine="567"/>
        <w:jc w:val="both"/>
      </w:pPr>
      <w:r>
        <w:rPr>
          <w:rFonts w:ascii="Arial" w:cs="Arial" w:eastAsia="Arial" w:hAnsi="Arial"/>
          <w:sz w:val="24"/>
          <w:szCs w:val="24"/>
        </w:rPr>
        <w:t xml:space="preserve">С начала 2025 года в государствах-членах ЕАЭС складывается умеренное повышение темпов роста потребительских цен.</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6</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Индекс потребительских цен в государствах-членах ЕАЭС
 в марте 2024-2025 годов (в % к декабрю предыдущего года)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4"/>
        <w:gridCol w:w="5203"/>
        <w:gridCol w:w="2055"/>
        <w:gridCol w:w="2055"/>
      </w:tblGrid>
      <w:tr>
        <w:tc>
          <w:tcPr>
            <w:tcW w:type="dxa" w:w="8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2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Страны</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101,8</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bl>
    <w:p>
      <w:pPr>
        <w:spacing w:after="120" w:before="120"/>
        <w:ind w:firstLine="567"/>
        <w:jc w:val="both"/>
      </w:pPr>
      <w:r>
        <w:rPr>
          <w:rFonts w:ascii="Arial" w:cs="Arial" w:eastAsia="Arial" w:hAnsi="Arial"/>
          <w:sz w:val="24"/>
          <w:szCs w:val="24"/>
        </w:rPr>
        <w:t xml:space="preserve">На внешних рынках ценовая ситуация в целом остается стабильной. В марте 2025 года среднее значение Индекса продовольственных цен, рассчитываемого Продовольственной и сельскохозяйственной организацией Объединенных Наций (далее - ФАО), составило 127,1 пункта, практически не изменившись по сравнению с февралем текущего года. Стабилизация общего индекса ФАО обусловлена разнонаправленной динамикой: рост цен на мясо и растительные масла был компенсирован снижением цен на зерновые и сахар, тогда как индекс цен на молочную продукцию сохранился на стабильном уровне.</w:t>
      </w:r>
    </w:p>
    <w:p>
      <w:pPr>
        <w:spacing w:after="240" w:before="200"/>
        <w:jc w:val="center"/>
      </w:pPr>
      <w:r>
        <w:rPr>
          <w:rFonts w:ascii="Arial" w:cs="Arial" w:eastAsia="Arial" w:hAnsi="Arial"/>
          <w:b/>
          <w:bCs/>
          <w:sz w:val="24"/>
          <w:szCs w:val="24"/>
        </w:rPr>
        <w:t xml:space="preserve">Глава 3. Условия и факторы/риски социально-экономического развития Кыргызской Республики на 2025-2030 годы</w:t>
      </w:r>
    </w:p>
    <w:p>
      <w:pPr>
        <w:spacing w:after="120"/>
        <w:ind w:firstLine="567"/>
        <w:jc w:val="both"/>
      </w:pPr>
      <w:r>
        <w:rPr>
          <w:rFonts w:ascii="Arial" w:cs="Arial" w:eastAsia="Arial" w:hAnsi="Arial"/>
          <w:sz w:val="24"/>
          <w:szCs w:val="24"/>
        </w:rPr>
        <w:t xml:space="preserve">Современное состояние мировой и региональной экономики характеризуется завершением восстановительного постпандемического этапа и переходом к периоду устойчивых структурных изменений. Основные вызовы формируются под воздействием сохраняющейся геополитической напряженности, ускоренного технологического развития и климатических изменений.</w:t>
      </w:r>
    </w:p>
    <w:p>
      <w:pPr>
        <w:spacing w:after="120"/>
        <w:ind w:firstLine="567"/>
        <w:jc w:val="both"/>
      </w:pPr>
      <w:r>
        <w:rPr>
          <w:rFonts w:ascii="Arial" w:cs="Arial" w:eastAsia="Arial" w:hAnsi="Arial"/>
          <w:sz w:val="24"/>
          <w:szCs w:val="24"/>
        </w:rPr>
        <w:t xml:space="preserve">Внешние условия:</w:t>
      </w:r>
    </w:p>
    <w:p>
      <w:pPr>
        <w:spacing w:after="120"/>
        <w:ind w:firstLine="567"/>
        <w:jc w:val="both"/>
      </w:pPr>
      <w:r>
        <w:rPr>
          <w:rFonts w:ascii="Arial" w:cs="Arial" w:eastAsia="Arial" w:hAnsi="Arial"/>
          <w:sz w:val="24"/>
          <w:szCs w:val="24"/>
        </w:rPr>
        <w:t xml:space="preserve">1) сохранение геополитической напряженности и торговые конфликты замедляют рост и снижают экспортный спрос, нарушают торговые маршруты и усиливают инфляционное давление:</w:t>
      </w:r>
    </w:p>
    <w:p>
      <w:pPr>
        <w:spacing w:after="120"/>
        <w:ind w:firstLine="567"/>
        <w:jc w:val="both"/>
      </w:pPr>
      <w:r>
        <w:rPr>
          <w:rFonts w:ascii="Arial" w:cs="Arial" w:eastAsia="Arial" w:hAnsi="Arial"/>
          <w:sz w:val="24"/>
          <w:szCs w:val="24"/>
        </w:rPr>
        <w:t xml:space="preserve">- ожидаемое замедление роста мировой экономики в 2025-2026 годах из-за сохранения жесткой монетарной политики ведущих центробанков, слабого спроса и высокой долговой нагрузки (в том числе замедление роста экономики Китая, темпы роста ожидаются значительно ниже показателей прошлых десятилетий из-за слабого внутреннего спроса и внешних ограничений, затяжного кризиса в секторе недвижимости и проблем в финансовом секторе; в странах ЕАЭС из-за ограниченного доступа к капиталу и геополитической нестабильности);</w:t>
      </w:r>
    </w:p>
    <w:p>
      <w:pPr>
        <w:spacing w:after="120"/>
        <w:ind w:firstLine="567"/>
        <w:jc w:val="both"/>
      </w:pPr>
      <w:r>
        <w:rPr>
          <w:rFonts w:ascii="Arial" w:cs="Arial" w:eastAsia="Arial" w:hAnsi="Arial"/>
          <w:sz w:val="24"/>
          <w:szCs w:val="24"/>
        </w:rPr>
        <w:t xml:space="preserve">- санкции и финансовые ограничения: усиление санкционного давления на ключевых торговых партнеров Кыргызской Республики усложняет финансовые операции, влияет на поставки критически важных товаров и внешнеэкономическую деятельность;</w:t>
      </w:r>
    </w:p>
    <w:p>
      <w:pPr>
        <w:spacing w:after="120"/>
        <w:ind w:firstLine="567"/>
        <w:jc w:val="both"/>
      </w:pPr>
      <w:r>
        <w:rPr>
          <w:rFonts w:ascii="Arial" w:cs="Arial" w:eastAsia="Arial" w:hAnsi="Arial"/>
          <w:sz w:val="24"/>
          <w:szCs w:val="24"/>
        </w:rPr>
        <w:t xml:space="preserve">- изменение логистических маршрутов: санкции и тарифные барьеры способствуют развитию альтернативных торговых путей, таких как Срединный коридор через Центральную Азию. Это открывает возможности, но и потребует значительных инвестиций в инфраструктуру и логистику;</w:t>
      </w:r>
    </w:p>
    <w:p>
      <w:pPr>
        <w:spacing w:after="120"/>
        <w:ind w:firstLine="567"/>
        <w:jc w:val="both"/>
      </w:pPr>
      <w:r>
        <w:rPr>
          <w:rFonts w:ascii="Arial" w:cs="Arial" w:eastAsia="Arial" w:hAnsi="Arial"/>
          <w:sz w:val="24"/>
          <w:szCs w:val="24"/>
        </w:rPr>
        <w:t xml:space="preserve">- появление новых тарифных барьеров: введение "агрессивных" новых тарифов со стороны США на товары из Китая, Мексики и Канады, что фактически отменяет беспошлинную торговлю в рамках USMCA и ответная реакция Китая усиливают экономическое противостояние и ведут к дестабилизации торговли, росту цен и усилению взаимных экономических ограничений, что негативно может оказать влияние на глобальные цепочки поставок и ускорить перегруппировку торговых партнерств;</w:t>
      </w:r>
    </w:p>
    <w:p>
      <w:pPr>
        <w:spacing w:after="120"/>
        <w:ind w:firstLine="567"/>
        <w:jc w:val="both"/>
      </w:pPr>
      <w:r>
        <w:rPr>
          <w:rFonts w:ascii="Arial" w:cs="Arial" w:eastAsia="Arial" w:hAnsi="Arial"/>
          <w:sz w:val="24"/>
          <w:szCs w:val="24"/>
        </w:rPr>
        <w:t xml:space="preserve">2) изменения в глобальной торговой системе:</w:t>
      </w:r>
    </w:p>
    <w:p>
      <w:pPr>
        <w:spacing w:after="120"/>
        <w:ind w:firstLine="567"/>
        <w:jc w:val="both"/>
      </w:pPr>
      <w:r>
        <w:rPr>
          <w:rFonts w:ascii="Arial" w:cs="Arial" w:eastAsia="Arial" w:hAnsi="Arial"/>
          <w:sz w:val="24"/>
          <w:szCs w:val="24"/>
        </w:rPr>
        <w:t xml:space="preserve">- медленное оживление мировой торговли: в 2025 году ожидается рост мировой торговли на 3,2% за счет увеличения экспорта промышленных товаров из Азии и активного развития торговли услугами. Однако торговые ограничения, протекционистская политика крупных экономик и геополитическая нестабильность создают значительные риски для стабильности глобальной торговой системы. В долгосрочной перспективе мировая торговля может замедлиться из-за роста протекционизма и локализации производственных цепочек. Многие страны, включая Китай, США и ЕС, будут стремиться снизить зависимость от внешних поставщиков, что приведет к переориентации торговых потоков и возможному снижению спроса на товары из развивающихся стран;</w:t>
      </w:r>
    </w:p>
    <w:p>
      <w:pPr>
        <w:spacing w:after="120"/>
        <w:ind w:firstLine="567"/>
        <w:jc w:val="both"/>
      </w:pPr>
      <w:r>
        <w:rPr>
          <w:rFonts w:ascii="Arial" w:cs="Arial" w:eastAsia="Arial" w:hAnsi="Arial"/>
          <w:sz w:val="24"/>
          <w:szCs w:val="24"/>
        </w:rPr>
        <w:t xml:space="preserve">- рост спроса на "зеленые" товары и экологические стандарты: страны ЕС и другие развитые экономики планируют ужесточать с 2026 года экологические стандарты, вводя новые "зеленые" пошлины (например, углеродный налог на импорт). Это создаст дополнительные барьеры для экспортеров из развивающихся стран, потребует адаптации национальной промышленности к международным экологическим требованиям;</w:t>
      </w:r>
    </w:p>
    <w:p>
      <w:pPr>
        <w:spacing w:after="120"/>
        <w:ind w:firstLine="567"/>
        <w:jc w:val="both"/>
      </w:pPr>
      <w:r>
        <w:rPr>
          <w:rFonts w:ascii="Arial" w:cs="Arial" w:eastAsia="Arial" w:hAnsi="Arial"/>
          <w:sz w:val="24"/>
          <w:szCs w:val="24"/>
        </w:rPr>
        <w:t xml:space="preserve">3) снижение инвестиций: глобальные и региональные кризисы, напряженная ситуация в торговле и ужесточение условий финансирования оказывают негативное воздействие на прямые иностранные инвестиции, которые с 2022 года оставались на низком уровне (прямые иностранные инвестиции в новые промышленные и инфраструктурные проекты в развивающихся странах сократились, а объем новых инвестиций в сектора, имеющие отношение к ЦУР, упал более чем на 10%);</w:t>
      </w:r>
    </w:p>
    <w:p>
      <w:pPr>
        <w:spacing w:after="120"/>
        <w:ind w:firstLine="567"/>
        <w:jc w:val="both"/>
      </w:pPr>
      <w:r>
        <w:rPr>
          <w:rFonts w:ascii="Arial" w:cs="Arial" w:eastAsia="Arial" w:hAnsi="Arial"/>
          <w:sz w:val="24"/>
          <w:szCs w:val="24"/>
        </w:rPr>
        <w:t xml:space="preserve">4) нестабильность на глобальных финансовых и сырьевых рынках:</w:t>
      </w:r>
    </w:p>
    <w:p>
      <w:pPr>
        <w:spacing w:after="120"/>
        <w:ind w:firstLine="567"/>
        <w:jc w:val="both"/>
      </w:pPr>
      <w:r>
        <w:rPr>
          <w:rFonts w:ascii="Arial" w:cs="Arial" w:eastAsia="Arial" w:hAnsi="Arial"/>
          <w:sz w:val="24"/>
          <w:szCs w:val="24"/>
        </w:rPr>
        <w:t xml:space="preserve">- неопределенность в политике ФРС в 2025-2026 годах окажет влияние на курс доллара и мировые цены на нефть, что может подорвать доверие инвесторов и ограничить финансовые потоки;</w:t>
      </w:r>
    </w:p>
    <w:p>
      <w:pPr>
        <w:spacing w:after="120"/>
        <w:ind w:firstLine="567"/>
        <w:jc w:val="both"/>
      </w:pPr>
      <w:r>
        <w:rPr>
          <w:rFonts w:ascii="Arial" w:cs="Arial" w:eastAsia="Arial" w:hAnsi="Arial"/>
          <w:sz w:val="24"/>
          <w:szCs w:val="24"/>
        </w:rPr>
        <w:t xml:space="preserve">- введение новых тарифов в США может вызвать волну неопределенности на крипторынке, связанную с торговыми ограничениями и возможным замедлением мировой экономики. Это может ускорить инфляцию и снизить доверие к традиционным финансовым инструментам, что приведет к росту интереса к криптовалютам как альтернативному активу. Однако усиление регулирования и экономическая нестабильность могут также создать угрозы для криптовалютных рынков, вызывая их волатильность;</w:t>
      </w:r>
    </w:p>
    <w:p>
      <w:pPr>
        <w:spacing w:after="120"/>
        <w:ind w:firstLine="567"/>
        <w:jc w:val="both"/>
      </w:pPr>
      <w:r>
        <w:rPr>
          <w:rFonts w:ascii="Arial" w:cs="Arial" w:eastAsia="Arial" w:hAnsi="Arial"/>
          <w:sz w:val="24"/>
          <w:szCs w:val="24"/>
        </w:rPr>
        <w:t xml:space="preserve">- волатильность цен на энергоносители: прогнозируется снижение цен на нефть из-за слабого спроса в Китае и увеличенного предложения со стороны стран, не входящих в ОПЕК+, что окажет давление на мировые цены. В то же время ожидается рост цен на газ, обусловленный более холодной, чем ожидалось, погодой и перебоями в поставках, включая продолжающийся конфликт на Ближнем Востоке и остановки добычи на газовых месторождениях;</w:t>
      </w:r>
    </w:p>
    <w:p>
      <w:pPr>
        <w:spacing w:after="120"/>
        <w:ind w:firstLine="567"/>
        <w:jc w:val="both"/>
      </w:pPr>
      <w:r>
        <w:rPr>
          <w:rFonts w:ascii="Arial" w:cs="Arial" w:eastAsia="Arial" w:hAnsi="Arial"/>
          <w:sz w:val="24"/>
          <w:szCs w:val="24"/>
        </w:rPr>
        <w:t xml:space="preserve">- возможный рост цен на мировые продовольственные продукты за счет влияния природно-климатического фактора (дефицит осадков, недостаток влаги в почве, засуха, чрезмерное выпадение осадков), сочетания увеличения мирового спроса на мировых рынках и снижения предложения, особенно в развивающихся странах и др.;</w:t>
      </w:r>
    </w:p>
    <w:p>
      <w:pPr>
        <w:spacing w:after="120"/>
        <w:ind w:firstLine="567"/>
        <w:jc w:val="both"/>
      </w:pPr>
      <w:r>
        <w:rPr>
          <w:rFonts w:ascii="Arial" w:cs="Arial" w:eastAsia="Arial" w:hAnsi="Arial"/>
          <w:sz w:val="24"/>
          <w:szCs w:val="24"/>
        </w:rPr>
        <w:t xml:space="preserve">5) демографические изменения в мировой экономике:</w:t>
      </w:r>
    </w:p>
    <w:p>
      <w:pPr>
        <w:spacing w:after="120"/>
        <w:ind w:firstLine="567"/>
        <w:jc w:val="both"/>
      </w:pPr>
      <w:r>
        <w:rPr>
          <w:rFonts w:ascii="Arial" w:cs="Arial" w:eastAsia="Arial" w:hAnsi="Arial"/>
          <w:sz w:val="24"/>
          <w:szCs w:val="24"/>
        </w:rPr>
        <w:t xml:space="preserve">- старение населения в развитых странах сократит рабочую силу и увеличит нагрузку на социальные системы, что замедлит экономический рост и потребует инвестиций в автоматизацию труда;</w:t>
      </w:r>
    </w:p>
    <w:p>
      <w:pPr>
        <w:spacing w:after="120"/>
        <w:ind w:firstLine="567"/>
        <w:jc w:val="both"/>
      </w:pPr>
      <w:r>
        <w:rPr>
          <w:rFonts w:ascii="Arial" w:cs="Arial" w:eastAsia="Arial" w:hAnsi="Arial"/>
          <w:sz w:val="24"/>
          <w:szCs w:val="24"/>
        </w:rPr>
        <w:t xml:space="preserve">- рост расходов на здравоохранение из-за старения населения повысит спрос на медицинские услуги и лекарства, увеличив финансовые нагрузки на экономики и глобальные цепочки поставок;</w:t>
      </w:r>
    </w:p>
    <w:p>
      <w:pPr>
        <w:spacing w:after="120"/>
        <w:ind w:firstLine="567"/>
        <w:jc w:val="both"/>
      </w:pPr>
      <w:r>
        <w:rPr>
          <w:rFonts w:ascii="Arial" w:cs="Arial" w:eastAsia="Arial" w:hAnsi="Arial"/>
          <w:sz w:val="24"/>
          <w:szCs w:val="24"/>
        </w:rPr>
        <w:t xml:space="preserve">- смещение экономического центра в сторону развивающихся стран, где сохраняется высокая рождаемость и динамичный рост населения, может усилить их роль в мировой экономике и изменить глобальные торговые и инвестиционные потоки;</w:t>
      </w:r>
    </w:p>
    <w:p>
      <w:pPr>
        <w:spacing w:after="120"/>
        <w:ind w:firstLine="567"/>
        <w:jc w:val="both"/>
      </w:pPr>
      <w:r>
        <w:rPr>
          <w:rFonts w:ascii="Arial" w:cs="Arial" w:eastAsia="Arial" w:hAnsi="Arial"/>
          <w:sz w:val="24"/>
          <w:szCs w:val="24"/>
        </w:rPr>
        <w:t xml:space="preserve">- ужесточение миграционной политики создает значительные риски - от социальных конфликтов до экономических дисбалансов. В ряде регионов мира к началу 2025 года обострились проблемы, связанные с миграцией и беженцами: США готовят массовые депортации, в России ужесточают миграционные законы, ЕС разрабатывает "план пересмотра" Конвенции ООН о статусе беженцев, в Германии реэмиграция стала главной темой предвыборных кампаний;</w:t>
      </w:r>
    </w:p>
    <w:p>
      <w:pPr>
        <w:spacing w:after="120"/>
        <w:ind w:firstLine="567"/>
        <w:jc w:val="both"/>
      </w:pPr>
      <w:r>
        <w:rPr>
          <w:rFonts w:ascii="Arial" w:cs="Arial" w:eastAsia="Arial" w:hAnsi="Arial"/>
          <w:sz w:val="24"/>
          <w:szCs w:val="24"/>
        </w:rPr>
        <w:t xml:space="preserve">6) влияние глобального потепления, которое может сказаться на экономической активности, производительности, урожайности:</w:t>
      </w:r>
    </w:p>
    <w:p>
      <w:pPr>
        <w:spacing w:after="120"/>
        <w:ind w:firstLine="567"/>
        <w:jc w:val="both"/>
      </w:pPr>
      <w:r>
        <w:rPr>
          <w:rFonts w:ascii="Arial" w:cs="Arial" w:eastAsia="Arial" w:hAnsi="Arial"/>
          <w:sz w:val="24"/>
          <w:szCs w:val="24"/>
        </w:rPr>
        <w:t xml:space="preserve">- в конце 2024 года - начале 2025 года на смену явлению Эль-Ниньо пришло его противоположное климатическое явление - Ла-Нинья. Оно характеризуется снижением температуры воды в экваториальной части Тихого океана и оказывает влияние на погодные условия по всему миру. Однако текущая фаза Ла-Нинья является слабовыраженной и, по прогнозам метеорологов, уже в марте-апреле 2025 года перейдет в нейтральное состояние. Несмотря на это, 2025 год может войти в число самых жарких лет в истории наблюдений. Эксперты также не исключают возможность возвращения Эль-Ниньо во второй половине года, что может привести к новым температурным аномалиям, засухам, ураганам и экстремальным осадкам в различных регионах планеты;</w:t>
      </w:r>
    </w:p>
    <w:p>
      <w:pPr>
        <w:spacing w:after="120"/>
        <w:ind w:firstLine="567"/>
        <w:jc w:val="both"/>
      </w:pPr>
      <w:r>
        <w:rPr>
          <w:rFonts w:ascii="Arial" w:cs="Arial" w:eastAsia="Arial" w:hAnsi="Arial"/>
          <w:sz w:val="24"/>
          <w:szCs w:val="24"/>
        </w:rPr>
        <w:t xml:space="preserve">- около 43% пригодной для использования земли на планете уже преобразовано под фермерские хозяйства, пастбища и урбанизированные территории. Потеря более половины естественного ландшафта может стать переломной точкой. Точка невозврата может быть достигнута уже в 2025 году, что может привести к массовым вымираниям видов и непредсказуемым изменениям экосистем. Продолжающееся разрушение природных экосистем ставит под угрозу не только виды растений и животных, но и стабильность сфер, от которых зависит качество жизни человека, включая рыболовство, сельское хозяйство, лесное хозяйство и водоснабжение;</w:t>
      </w:r>
    </w:p>
    <w:p>
      <w:pPr>
        <w:spacing w:after="120"/>
        <w:ind w:firstLine="567"/>
        <w:jc w:val="both"/>
      </w:pPr>
      <w:r>
        <w:rPr>
          <w:rFonts w:ascii="Arial" w:cs="Arial" w:eastAsia="Arial" w:hAnsi="Arial"/>
          <w:sz w:val="24"/>
          <w:szCs w:val="24"/>
        </w:rPr>
        <w:t xml:space="preserve">- участившиеся природные катаклизмы (засухи, наводнения, аномальные морозы), увеличение продолжительности, интенсивности и частоты опасных погодных явлений могут негативно сказаться на активном ведении экономической деятельности (в секторах экономики, инфраструктуре страны, жизнедеятельности человека);</w:t>
      </w:r>
    </w:p>
    <w:p>
      <w:pPr>
        <w:spacing w:after="120"/>
        <w:ind w:firstLine="567"/>
        <w:jc w:val="both"/>
      </w:pPr>
      <w:r>
        <w:rPr>
          <w:rFonts w:ascii="Arial" w:cs="Arial" w:eastAsia="Arial" w:hAnsi="Arial"/>
          <w:sz w:val="24"/>
          <w:szCs w:val="24"/>
        </w:rPr>
        <w:t xml:space="preserve">- международные требования к снижению выбросов углерода и экологическим стандартам могут повлиять на доступ к рынкам развитых стран, потребовать адаптации бизнеса и увеличения расходов на модернизацию.</w:t>
      </w:r>
    </w:p>
    <w:p>
      <w:pPr>
        <w:spacing w:after="120"/>
        <w:ind w:firstLine="567"/>
        <w:jc w:val="both"/>
      </w:pPr>
      <w:r>
        <w:rPr>
          <w:rFonts w:ascii="Arial" w:cs="Arial" w:eastAsia="Arial" w:hAnsi="Arial"/>
          <w:b/>
          <w:bCs/>
          <w:sz w:val="24"/>
          <w:szCs w:val="24"/>
        </w:rPr>
        <w:t xml:space="preserve">Внутренние условия:</w:t>
      </w:r>
    </w:p>
    <w:p>
      <w:pPr>
        <w:spacing w:after="120"/>
        <w:ind w:firstLine="567"/>
        <w:jc w:val="both"/>
      </w:pPr>
      <w:r>
        <w:rPr>
          <w:rFonts w:ascii="Arial" w:cs="Arial" w:eastAsia="Arial" w:hAnsi="Arial"/>
          <w:sz w:val="24"/>
          <w:szCs w:val="24"/>
        </w:rPr>
        <w:t xml:space="preserve">- социально-политическая стабильность в стране;</w:t>
      </w:r>
    </w:p>
    <w:p>
      <w:pPr>
        <w:spacing w:after="120"/>
        <w:ind w:firstLine="567"/>
        <w:jc w:val="both"/>
      </w:pPr>
      <w:r>
        <w:rPr>
          <w:rFonts w:ascii="Arial" w:cs="Arial" w:eastAsia="Arial" w:hAnsi="Arial"/>
          <w:sz w:val="24"/>
          <w:szCs w:val="24"/>
        </w:rPr>
        <w:t xml:space="preserve">- реализация крупных национальных инвестиционных проектов в энергетике, ирригации, дорожно-транспортной сфере; масштабные объемы жилищного строительства по линии Государственной Ипотечной Компании (далее - ГИК);</w:t>
      </w:r>
    </w:p>
    <w:p>
      <w:pPr>
        <w:spacing w:after="120"/>
        <w:ind w:firstLine="567"/>
        <w:jc w:val="both"/>
      </w:pPr>
      <w:r>
        <w:rPr>
          <w:rFonts w:ascii="Arial" w:cs="Arial" w:eastAsia="Arial" w:hAnsi="Arial"/>
          <w:sz w:val="24"/>
          <w:szCs w:val="24"/>
        </w:rPr>
        <w:t xml:space="preserve">- реализация проекта "100 промышленных предприятий - 2025";</w:t>
      </w:r>
    </w:p>
    <w:p>
      <w:pPr>
        <w:spacing w:after="120"/>
        <w:ind w:firstLine="567"/>
        <w:jc w:val="both"/>
      </w:pPr>
      <w:r>
        <w:rPr>
          <w:rFonts w:ascii="Arial" w:cs="Arial" w:eastAsia="Arial" w:hAnsi="Arial"/>
          <w:sz w:val="24"/>
          <w:szCs w:val="24"/>
        </w:rPr>
        <w:t xml:space="preserve">- развитие приоритетных секторов с высоким экспортным потенциалом;</w:t>
      </w:r>
    </w:p>
    <w:p>
      <w:pPr>
        <w:spacing w:after="120"/>
        <w:ind w:firstLine="567"/>
        <w:jc w:val="both"/>
      </w:pPr>
      <w:r>
        <w:rPr>
          <w:rFonts w:ascii="Arial" w:cs="Arial" w:eastAsia="Arial" w:hAnsi="Arial"/>
          <w:sz w:val="24"/>
          <w:szCs w:val="24"/>
        </w:rPr>
        <w:t xml:space="preserve">- расширение доступа к финансовым инструментам;</w:t>
      </w:r>
    </w:p>
    <w:p>
      <w:pPr>
        <w:spacing w:after="12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120"/>
        <w:ind w:firstLine="567"/>
        <w:jc w:val="both"/>
      </w:pPr>
      <w:r>
        <w:rPr>
          <w:rFonts w:ascii="Arial" w:cs="Arial" w:eastAsia="Arial" w:hAnsi="Arial"/>
          <w:sz w:val="24"/>
          <w:szCs w:val="24"/>
        </w:rPr>
        <w:t xml:space="preserve">- проводимая работа по цифровизации экономики, принимаемые меры по выводу бизнеса из тени и др.</w:t>
      </w:r>
    </w:p>
    <w:p>
      <w:pPr>
        <w:spacing w:after="120"/>
        <w:ind w:firstLine="567"/>
        <w:jc w:val="both"/>
      </w:pPr>
      <w:r>
        <w:rPr>
          <w:rFonts w:ascii="Arial" w:cs="Arial" w:eastAsia="Arial" w:hAnsi="Arial"/>
          <w:sz w:val="24"/>
          <w:szCs w:val="24"/>
        </w:rPr>
        <w:t xml:space="preserve">Возможные макроэкономические риски:</w:t>
      </w:r>
    </w:p>
    <w:p>
      <w:pPr>
        <w:spacing w:after="120"/>
        <w:ind w:firstLine="567"/>
        <w:jc w:val="both"/>
      </w:pPr>
      <w:r>
        <w:rPr>
          <w:rFonts w:ascii="Arial" w:cs="Arial" w:eastAsia="Arial" w:hAnsi="Arial"/>
          <w:sz w:val="24"/>
          <w:szCs w:val="24"/>
        </w:rPr>
        <w:t xml:space="preserve">- сокращение внешнего спроса и предложения из-за возможного замедления экономического роста в странах - основных торговых партнерах;</w:t>
      </w:r>
    </w:p>
    <w:p>
      <w:pPr>
        <w:spacing w:after="120"/>
        <w:ind w:firstLine="567"/>
        <w:jc w:val="both"/>
      </w:pPr>
      <w:r>
        <w:rPr>
          <w:rFonts w:ascii="Arial" w:cs="Arial" w:eastAsia="Arial" w:hAnsi="Arial"/>
          <w:sz w:val="24"/>
          <w:szCs w:val="24"/>
        </w:rPr>
        <w:t xml:space="preserve">- сокращение потоков инвестиций из-за ослабления деловой уверенности, денежных переводов из-за ужесточения миграционной политики;</w:t>
      </w:r>
    </w:p>
    <w:p>
      <w:pPr>
        <w:spacing w:after="120"/>
        <w:ind w:firstLine="567"/>
        <w:jc w:val="both"/>
      </w:pPr>
      <w:r>
        <w:rPr>
          <w:rFonts w:ascii="Arial" w:cs="Arial" w:eastAsia="Arial" w:hAnsi="Arial"/>
          <w:sz w:val="24"/>
          <w:szCs w:val="24"/>
        </w:rPr>
        <w:t xml:space="preserve">- осложнение ситуации на мировых финансовых рынках может создать препятствия для поступления внешних заимствований или привести к удорожанию стоимости привлекаемых ресурсов;</w:t>
      </w:r>
    </w:p>
    <w:p>
      <w:pPr>
        <w:spacing w:after="120"/>
        <w:ind w:firstLine="567"/>
        <w:jc w:val="both"/>
      </w:pPr>
      <w:r>
        <w:rPr>
          <w:rFonts w:ascii="Arial" w:cs="Arial" w:eastAsia="Arial" w:hAnsi="Arial"/>
          <w:sz w:val="24"/>
          <w:szCs w:val="24"/>
        </w:rPr>
        <w:t xml:space="preserve">- расширение санкционной политики, угроза попадания отечественных компаний под вторичные санкции за сотрудничество с санкционными компаниями;</w:t>
      </w:r>
    </w:p>
    <w:p>
      <w:pPr>
        <w:spacing w:after="120"/>
        <w:ind w:firstLine="567"/>
        <w:jc w:val="both"/>
      </w:pPr>
      <w:r>
        <w:rPr>
          <w:rFonts w:ascii="Arial" w:cs="Arial" w:eastAsia="Arial" w:hAnsi="Arial"/>
          <w:sz w:val="24"/>
          <w:szCs w:val="24"/>
        </w:rPr>
        <w:t xml:space="preserve">- климатические шоки (таяние ледников, засухи и др.), влияющие на экономическую активность, урожайность;</w:t>
      </w:r>
    </w:p>
    <w:p>
      <w:pPr>
        <w:spacing w:after="120"/>
        <w:ind w:firstLine="567"/>
        <w:jc w:val="both"/>
      </w:pPr>
      <w:r>
        <w:rPr>
          <w:rFonts w:ascii="Arial" w:cs="Arial" w:eastAsia="Arial" w:hAnsi="Arial"/>
          <w:sz w:val="24"/>
          <w:szCs w:val="24"/>
        </w:rPr>
        <w:t xml:space="preserve">- волатильность цен на продовольствие и топливно-энергетические товары из-за импортозависимости, влияющая на уровень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продукции в секторах экономики).</w:t>
      </w:r>
    </w:p>
    <w:p>
      <w:pPr>
        <w:spacing w:after="120"/>
        <w:ind w:firstLine="567"/>
        <w:jc w:val="both"/>
      </w:pPr>
      <w:r>
        <w:rPr>
          <w:rFonts w:ascii="Arial" w:cs="Arial" w:eastAsia="Arial" w:hAnsi="Arial"/>
          <w:sz w:val="24"/>
          <w:szCs w:val="24"/>
        </w:rPr>
        <w:t xml:space="preserve">Сложившаяся геополитическая ситуация вносит серьезные коррективы в развитие мировой экономики. Наблюдаемая в настоящее время санкционная конфронтация является беспрецедентной по своей сути и последствиям и стала "новой нормой", разрушающей цепочки поставок. Уровень неопределенности остается высоким: последствия каждого из факторов будут проявляться по-разному в зависимости от страны, с учетом торговых и финансовых связей, принимаемых мер политики для адаптации к изменившимся условиям.</w:t>
      </w:r>
    </w:p>
    <w:p>
      <w:pPr>
        <w:spacing w:after="120"/>
        <w:ind w:firstLine="567"/>
        <w:jc w:val="both"/>
      </w:pPr>
      <w:r>
        <w:rPr>
          <w:rFonts w:ascii="Arial" w:cs="Arial" w:eastAsia="Arial" w:hAnsi="Arial"/>
          <w:sz w:val="24"/>
          <w:szCs w:val="24"/>
        </w:rPr>
        <w:t xml:space="preserve">В этих условиях международные институты дают разнонаправленную оценку экономическим перспективам.</w:t>
      </w:r>
    </w:p>
    <w:p>
      <w:pPr>
        <w:spacing w:after="120"/>
        <w:ind w:firstLine="567"/>
        <w:jc w:val="both"/>
      </w:pPr>
      <w:r>
        <w:rPr>
          <w:rFonts w:ascii="Arial" w:cs="Arial" w:eastAsia="Arial" w:hAnsi="Arial"/>
          <w:sz w:val="24"/>
          <w:szCs w:val="24"/>
        </w:rPr>
        <w:t xml:space="preserve">Эксперты Всемирного банка (далее - ВБ) прогнозируют рост глобального ВВП на 2025-2026 годы на уровне 2,7%. Международный валютный фонд (далее - МВФ) ухудшил прогноз роста мировой экономики на 2025 год, прогноз снижен на 0,4 п.п. - до 2,8%, а на 2026 год прогнозирует рост глобальной экономики на 3,0%.</w:t>
      </w:r>
    </w:p>
    <w:p>
      <w:pPr>
        <w:spacing w:after="120"/>
        <w:ind w:firstLine="567"/>
        <w:jc w:val="both"/>
      </w:pPr>
      <w:r>
        <w:rPr>
          <w:rFonts w:ascii="Arial" w:cs="Arial" w:eastAsia="Arial" w:hAnsi="Arial"/>
          <w:sz w:val="24"/>
          <w:szCs w:val="24"/>
        </w:rPr>
        <w:t xml:space="preserve">МВФ также ухудшил прогноз двух крупнейших экономик мира на 2025 год, как для США (до 0,8%), так и для Китая (4,0%), ссылаясь на обострение торговой напряженности между двумя странами.</w:t>
      </w:r>
    </w:p>
    <w:p>
      <w:pPr>
        <w:spacing w:after="120"/>
        <w:ind w:firstLine="567"/>
        <w:jc w:val="both"/>
      </w:pPr>
      <w:r>
        <w:rPr>
          <w:rFonts w:ascii="Arial" w:cs="Arial" w:eastAsia="Arial" w:hAnsi="Arial"/>
          <w:sz w:val="24"/>
          <w:szCs w:val="24"/>
        </w:rPr>
        <w:t xml:space="preserve">Темпы экономического роста в развитых странах, в целом, по прогнозу ВБ, составят 1,7% в 2025 году и 1,8% в 2026 году, но они все еще будут ниже темпов, наблюдаемых в десятилетие до пандемии, в странах с развивающейся экономикой - соответственно 4,1% и 4,0%, что слабее, чем до пандемии, и их не хватит для обеспечения прогресса, необходимого для борьбы с бедностью и достижения более масштабных целей в области развития. Ожидаемое смягчение глобальной денежно-кредитной политики, восстановление реальных доходов, улучшение внутреннего спроса и постепенно растущая торговля и промышленная деятельность должны поддержать общий экономический рост в будущем.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7</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Сравнительный обзор прогнозов международных институтов</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4"/>
        <w:gridCol w:w="1311"/>
        <w:gridCol w:w="1631"/>
        <w:gridCol w:w="1631"/>
        <w:gridCol w:w="1631"/>
        <w:gridCol w:w="1631"/>
      </w:tblGrid>
      <w:tr>
        <w:tc>
          <w:tcPr>
            <w:tcW w:type="dxa" w:w="23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3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прогноз</w:t>
            </w:r>
          </w:p>
        </w:tc>
        <w:tc>
          <w:tcPr>
            <w:tcW w:type="dxa" w:w="3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2025</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Всемирный Банк:</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4,5/6,0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МВФ:</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 факт</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 2025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 2025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bl>
    <w:p>
      <w:pPr>
        <w:spacing w:after="120" w:before="120"/>
        <w:ind w:firstLine="567"/>
        <w:jc w:val="both"/>
      </w:pPr>
      <w:r>
        <w:rPr>
          <w:rFonts w:ascii="Arial" w:cs="Arial" w:eastAsia="Arial" w:hAnsi="Arial"/>
          <w:sz w:val="24"/>
          <w:szCs w:val="24"/>
        </w:rPr>
        <w:t xml:space="preserve">ВБ оставил прогноз по росту ВВП Казахстана на уровне 4,7% в январском обзоре. МВФ же пересмотрел свои оценки: прогноз на 2025 год был понижен с 5,5% до 4,9%, тогда как на 2026 год, наоборот, повышен с 4,1% до 4,3%. Вместе с тем Министерство национальной экономики Казахстана прогнозирует рост экономики в 2025 году на уровне 5,6% и в 2026 году - 6,0%.</w:t>
      </w:r>
    </w:p>
    <w:p>
      <w:pPr>
        <w:spacing w:after="120"/>
        <w:ind w:firstLine="567"/>
        <w:jc w:val="both"/>
      </w:pPr>
      <w:r>
        <w:rPr>
          <w:rFonts w:ascii="Arial" w:cs="Arial" w:eastAsia="Arial" w:hAnsi="Arial"/>
          <w:sz w:val="24"/>
          <w:szCs w:val="24"/>
        </w:rPr>
        <w:t xml:space="preserve">По экономическому росту Армении ВБ пересмотрел ожидания на 2025 год с 4,9% до 5,0%. В то же время МВФ ожидает темпы роста на уровне 4,5% как в 2025, так и в 2026 годах, что ниже предыдущего прогноза, представленного в октябре 2024 года, согласно которому в 2025 году ожидался рост на уровне 4,9%. Министерство финансов Армении прогнозирует рост экономики на 2025 год на уровне 5,1%.</w:t>
      </w:r>
    </w:p>
    <w:p>
      <w:pPr>
        <w:spacing w:after="120"/>
        <w:ind w:firstLine="567"/>
        <w:jc w:val="both"/>
      </w:pPr>
      <w:r>
        <w:rPr>
          <w:rFonts w:ascii="Arial" w:cs="Arial" w:eastAsia="Arial" w:hAnsi="Arial"/>
          <w:sz w:val="24"/>
          <w:szCs w:val="24"/>
        </w:rPr>
        <w:t xml:space="preserve">ВБ пересмотрел в сторону повышения прогноз по экономике Республики Беларусь, ожидая в 2025 году рост на уровне 1,2% по сравнению с ранее прогнозируемыми 0,7% в июне 2024 года. МВФ также улучшил свою оценку, прогнозируя рост ВВП Республики Беларусь в 2025 году на уровне 2,8%, что выше предыдущего прогноза в 2,3%. В то же время на 2026 год МВФ ожидает умеренное замедление темпов роста до 2,0%. Вместе с тем Министерство экономики Республики Беларусь прогнозирует рост экономики в 2025 году на 4,1%.</w:t>
      </w:r>
    </w:p>
    <w:p>
      <w:pPr>
        <w:spacing w:after="120"/>
        <w:ind w:firstLine="567"/>
        <w:jc w:val="both"/>
      </w:pPr>
      <w:r>
        <w:rPr>
          <w:rFonts w:ascii="Arial" w:cs="Arial" w:eastAsia="Arial" w:hAnsi="Arial"/>
          <w:sz w:val="24"/>
          <w:szCs w:val="24"/>
        </w:rPr>
        <w:t xml:space="preserve">ВБ повысил прогноз по росту российской экономики в 2025 году до 1,6%. МВФ пересмотрел свой прогноз роста ВВП России в 2025 году, улучшив его до 1,5%, или на 0,1 п.п. по сравнению с январскими данными. При этом фонд понизил прогноз роста экономики России в 2026 году на 0,3 п.п. - до 0,9%. Центральный банк России закладывает рост ВВП страны в 2025 году на уровне 1,6%, а в 2026 году - 1,7-2,0%. Действующий от октября 2024 года прогноз Министерства экономического развития России (который будет уточнен в апреле) предполагает рост ВВП РФ в 2025 году на 2,5%, а в 2026 году - на 2,6%.</w:t>
      </w:r>
    </w:p>
    <w:p>
      <w:pPr>
        <w:spacing w:after="120"/>
        <w:ind w:firstLine="567"/>
        <w:jc w:val="both"/>
      </w:pPr>
      <w:r>
        <w:rPr>
          <w:rFonts w:ascii="Arial" w:cs="Arial" w:eastAsia="Arial" w:hAnsi="Arial"/>
          <w:sz w:val="24"/>
          <w:szCs w:val="24"/>
        </w:rPr>
        <w:t xml:space="preserve">Ожидается, что глобальная общая инфляция будет снижаться темпами, которые несколько ниже прогнозов января, и достигнет 4,3% в 2025 году и 3,6% в 2026 году, что позволит продолжить нормализацию денежно-кредитной политики и положит конец глобальным потрясениям последних лет.</w:t>
      </w:r>
    </w:p>
    <w:p>
      <w:pPr>
        <w:spacing w:after="120"/>
        <w:ind w:firstLine="567"/>
        <w:jc w:val="both"/>
      </w:pPr>
      <w:r>
        <w:rPr>
          <w:rFonts w:ascii="Arial" w:cs="Arial" w:eastAsia="Arial" w:hAnsi="Arial"/>
          <w:sz w:val="24"/>
          <w:szCs w:val="24"/>
        </w:rPr>
        <w:t xml:space="preserve">Экономическим перспективам Кыргызской Республики международные институты также дают разностороннюю оценку. Согласно прогнозу МВФ, темпы роста ВВП страны в 2025 году составят 6,8%, с последующим замедлением до 5,3% в 2026 году ВБ дает более сдержанную оценку, ожидая рост на уровне 6,0% в 2025 году и 5,5% в 2026 году. В то же время ЕАБР и ЕБРР демонстрируют более оптимистичный взгляд на развитие кыргызской экономики: ЕАБР прогнозирует увеличение ВВП на 8,7% в 2025 году и на 6,4% в 2026 году, тогда как ЕБРР ожидает рост на уровне 7,0% и 6,0%, соответственно.</w:t>
      </w:r>
    </w:p>
    <w:p>
      <w:pPr>
        <w:spacing w:after="120"/>
        <w:ind w:firstLine="567"/>
        <w:jc w:val="both"/>
      </w:pPr>
      <w:r>
        <w:rPr>
          <w:rFonts w:ascii="Arial" w:cs="Arial" w:eastAsia="Arial" w:hAnsi="Arial"/>
          <w:sz w:val="24"/>
          <w:szCs w:val="24"/>
        </w:rPr>
        <w:t xml:space="preserve">Учитывая сложившиеся мировые тенденции, фактические количественные значения показателей и данные отраслевых министерств, ведомств и регионов, а также предпосылки и возможных влияющих факторов на экономику страны, произведены расчеты прогнозируемого развития экономики.</w:t>
      </w:r>
    </w:p>
    <w:p>
      <w:pPr>
        <w:spacing w:after="120"/>
        <w:ind w:firstLine="567"/>
        <w:jc w:val="both"/>
      </w:pPr>
      <w:r>
        <w:rPr>
          <w:rFonts w:ascii="Arial" w:cs="Arial" w:eastAsia="Arial" w:hAnsi="Arial"/>
          <w:sz w:val="24"/>
          <w:szCs w:val="24"/>
        </w:rPr>
        <w:t xml:space="preserve">В 2025 году и на среднесрочную перспективу (2026-2030 годы) темп роста национальной экономики прогнозируется выше потенциального уровня (105,3%), который будет закреплен вблизи диапазона достигнутых устойчивых показателей за предыдущие годы. Этому будут способствовать поддержание со стороны мер политики деловой активности действующих хозяйствующих субъектов, реализация крупных инвестиционных проектов в секторах экономики, масштабное строительство энергетических, социальных и жилищных объектов, а также модернизация ирригационных и водоснабжающих систем.</w:t>
      </w:r>
    </w:p>
    <w:p>
      <w:pPr>
        <w:spacing w:after="240" w:before="200"/>
        <w:jc w:val="center"/>
      </w:pPr>
      <w:r>
        <w:rPr>
          <w:rFonts w:ascii="Arial" w:cs="Arial" w:eastAsia="Arial" w:hAnsi="Arial"/>
          <w:b/>
          <w:bCs/>
          <w:sz w:val="24"/>
          <w:szCs w:val="24"/>
        </w:rPr>
        <w:t xml:space="preserve">Глава 4. Макроэкономические показатели, ожидаемые в 2025 году</w:t>
      </w:r>
    </w:p>
    <w:p>
      <w:pPr>
        <w:spacing w:after="120"/>
        <w:ind w:firstLine="567"/>
        <w:jc w:val="both"/>
      </w:pPr>
      <w:r>
        <w:rPr>
          <w:rFonts w:ascii="Arial" w:cs="Arial" w:eastAsia="Arial" w:hAnsi="Arial"/>
          <w:sz w:val="24"/>
          <w:szCs w:val="24"/>
        </w:rPr>
        <w:t xml:space="preserve">Основным направлением деятельности на 2025 год является обеспечение макроэкономической стабильности, включая принятие действенных мер по сдерживанию роста уровня потребительских цен, предотвращению и минимизации влияния кризисных проявлений. Для достижения целевых ориентиров принят детализированный План действий Кабинета Министров Кыргызской Республики на 2025 год, утвержденный </w:t>
      </w:r>
      <w:hyperlink w:history="1" r:id="rIdj53nm80p28yoizumq2xw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17 января 2025 года № 18-р, который включает проведение комплекса мер по созданию благоприятных условий для ведения экономической деятельности, устойчивости систем жизнеобеспечения, выполнению всех социальных обязательств и достижению стратегических ориентиров и приоритетов.</w:t>
      </w:r>
    </w:p>
    <w:p>
      <w:pPr>
        <w:spacing w:after="120"/>
        <w:ind w:firstLine="567"/>
        <w:jc w:val="both"/>
      </w:pPr>
      <w:r>
        <w:rPr>
          <w:rFonts w:ascii="Arial" w:cs="Arial" w:eastAsia="Arial" w:hAnsi="Arial"/>
          <w:sz w:val="24"/>
          <w:szCs w:val="24"/>
        </w:rPr>
        <w:t xml:space="preserve">Экономический рост в 2025 году ожидается на уровне 108,5%, номинальный объем ВВП в сумме 1779,7 млрд. сомов, а без учета золота - на уровне 108,9%. Ожидаемые социально-экономические показатели в 2025 году сложатся следующим образом: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8</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1077"/>
        <w:gridCol w:w="1077"/>
        <w:gridCol w:w="1077"/>
        <w:gridCol w:w="1174"/>
        <w:gridCol w:w="1174"/>
        <w:gridCol w:w="1174"/>
        <w:gridCol w:w="1174"/>
      </w:tblGrid>
      <w:tr>
        <w:tc>
          <w:tcPr>
            <w:tcW w:type="dxa" w:w="22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 предв. факт</w:t>
            </w:r>
          </w:p>
        </w:tc>
        <w:tc>
          <w:tcPr>
            <w:tcW w:type="dxa" w:w="46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в п.п.</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1523235,8</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109,0</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251034,5</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290418,8</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131114,1</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145206,5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125855,1</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158747,5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794212,4</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926356,6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221019,7</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258991,8</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bl>
    <w:p>
      <w:pPr>
        <w:spacing w:after="120" w:before="120"/>
        <w:ind w:firstLine="567"/>
        <w:jc w:val="both"/>
      </w:pPr>
      <w:r>
        <w:rPr>
          <w:rFonts w:ascii="Arial" w:cs="Arial" w:eastAsia="Arial" w:hAnsi="Arial"/>
          <w:sz w:val="24"/>
          <w:szCs w:val="24"/>
        </w:rPr>
        <w:t xml:space="preserve">В секторах экономики рост оценивается следующим образом: в сельском хозяйстве - на 4,0%, промышленности - на 7,7%, сфере услуг - на 8,3%, строительстве - на 16,9%.</w:t>
      </w:r>
    </w:p>
    <w:p>
      <w:pPr>
        <w:spacing w:after="12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на 2025 год ожидается в объеме 438,2 млрд. сомов, а темп реального прироста на уровне 4,0%, за счет прироста в растениеводстве - на 5,2% и животноводстве - на 3,1%.</w:t>
      </w:r>
    </w:p>
    <w:p>
      <w:pPr>
        <w:spacing w:after="120"/>
        <w:ind w:firstLine="567"/>
        <w:jc w:val="both"/>
      </w:pPr>
      <w:r>
        <w:rPr>
          <w:rFonts w:ascii="Arial" w:cs="Arial" w:eastAsia="Arial" w:hAnsi="Arial"/>
          <w:sz w:val="24"/>
          <w:szCs w:val="24"/>
        </w:rPr>
        <w:t xml:space="preserve">Продолжатся меры государственной поддержки аграрного сектора:</w:t>
      </w:r>
    </w:p>
    <w:p>
      <w:pPr>
        <w:spacing w:after="120"/>
        <w:ind w:firstLine="567"/>
        <w:jc w:val="both"/>
      </w:pPr>
      <w:r>
        <w:rPr>
          <w:rFonts w:ascii="Arial" w:cs="Arial" w:eastAsia="Arial" w:hAnsi="Arial"/>
          <w:sz w:val="24"/>
          <w:szCs w:val="24"/>
        </w:rPr>
        <w:t xml:space="preserve">- предоставление льготных кредитов по программе "Финансирование сельского хозяйства - 13", утвержденной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14 февраля 2025 года № 80-р, на 2025 год. Участвуют два ведущих коммерческих банка республики - открытое акционерное общество (далее - ОАО) "Айыл-Банк" и ОАО "Элдик Банк", с общим объемом кредитования в сумме 4,1 млрд. сомов;</w:t>
      </w:r>
    </w:p>
    <w:p>
      <w:pPr>
        <w:spacing w:after="120"/>
        <w:ind w:firstLine="567"/>
        <w:jc w:val="both"/>
      </w:pPr>
      <w:r>
        <w:rPr>
          <w:rFonts w:ascii="Arial" w:cs="Arial" w:eastAsia="Arial" w:hAnsi="Arial"/>
          <w:sz w:val="24"/>
          <w:szCs w:val="24"/>
        </w:rPr>
        <w:t xml:space="preserve">- реализация проекта "Кредитование агропромышленного комплекса", утвержденного </w:t>
      </w:r>
      <w:hyperlink w:history="1" r:id="rIdknkmuoarzkpmj0bx7scc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дальнейшему развитию агропромышленного комплекса Кыргызской Республики" от 22 июля 2024 года № 202, в соответствии с </w:t>
      </w:r>
      <w:hyperlink w:history="1" r:id="rId3y5fmo8bgjvs6ov99afd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20 декабря 2024 года № 816-р предусматривает выделение средств в размере 4,0 млрд. сомов;</w:t>
      </w:r>
    </w:p>
    <w:p>
      <w:pPr>
        <w:spacing w:after="120"/>
        <w:ind w:firstLine="567"/>
        <w:jc w:val="both"/>
      </w:pPr>
      <w:r>
        <w:rPr>
          <w:rFonts w:ascii="Arial" w:cs="Arial" w:eastAsia="Arial" w:hAnsi="Arial"/>
          <w:sz w:val="24"/>
          <w:szCs w:val="24"/>
        </w:rPr>
        <w:t xml:space="preserve">- в рамках проекта "Финансирование объединенных товаропроизводителей" предусмотрено финансирование в размере 2,2 млрд. сомов, направленного на укрупнение мелкотоварного производства, в соответствии с </w:t>
      </w:r>
      <w:hyperlink w:history="1" r:id="rIdiaru3kadhbdin9jr3plr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6 декабря 2024 года № 786-р.</w:t>
      </w:r>
    </w:p>
    <w:p>
      <w:pPr>
        <w:spacing w:after="120"/>
        <w:ind w:firstLine="567"/>
        <w:jc w:val="both"/>
      </w:pPr>
      <w:r>
        <w:rPr>
          <w:rFonts w:ascii="Arial" w:cs="Arial" w:eastAsia="Arial" w:hAnsi="Arial"/>
          <w:sz w:val="24"/>
          <w:szCs w:val="24"/>
        </w:rPr>
        <w:t xml:space="preserve">В 2025 году в целях повышения водообеспеченности сельского хозяйства, улучшения состояния водохозяйственной инфраструктуры и обеспечения устойчивого развития аграрного сектора запланирована подача 6,8 млрд. кубометров воды для орошения 1,22 млн. га земель.</w:t>
      </w:r>
    </w:p>
    <w:p>
      <w:pPr>
        <w:spacing w:after="120"/>
        <w:ind w:firstLine="567"/>
        <w:jc w:val="both"/>
      </w:pPr>
      <w:r>
        <w:rPr>
          <w:rFonts w:ascii="Arial" w:cs="Arial" w:eastAsia="Arial" w:hAnsi="Arial"/>
          <w:sz w:val="24"/>
          <w:szCs w:val="24"/>
        </w:rPr>
        <w:t xml:space="preserve">На восстановление и ремонт ирригационных объектов предусмотрено выделение 4,8 млрд. сомов из государственного бюджета, дополнительно 2 млрд. сомов будут направлены на строительство систем обеспечения населения чистой питьевой водой.</w:t>
      </w:r>
    </w:p>
    <w:p>
      <w:pPr>
        <w:spacing w:after="120"/>
        <w:ind w:firstLine="567"/>
        <w:jc w:val="both"/>
      </w:pPr>
      <w:r>
        <w:rPr>
          <w:rFonts w:ascii="Arial" w:cs="Arial" w:eastAsia="Arial" w:hAnsi="Arial"/>
          <w:sz w:val="24"/>
          <w:szCs w:val="24"/>
        </w:rPr>
        <w:t xml:space="preserve">В рамках предусмотренных мероприятий планируется провести ремонт и очистку 500 км оросительных каналов, уложить бетонное покрытие на площади 500 тыс. кв.м, восстановить и отремонтировать 755 гидротехнических сооружений, 200 водомерных постов и 91 насосную станцию, а также обновить 40 насосных агрегатов. Кроме того, запланирована очистка 272 км коллекторно-дренажной системы.</w:t>
      </w:r>
    </w:p>
    <w:p>
      <w:pPr>
        <w:spacing w:after="120"/>
        <w:ind w:firstLine="567"/>
        <w:jc w:val="both"/>
      </w:pPr>
      <w:r>
        <w:rPr>
          <w:rFonts w:ascii="Arial" w:cs="Arial" w:eastAsia="Arial" w:hAnsi="Arial"/>
          <w:sz w:val="24"/>
          <w:szCs w:val="24"/>
        </w:rPr>
        <w:t xml:space="preserve">Общая посевная площадь сельскохозяйственных культур в 2025 году составит 1250,0 тыс. га, что на 3,3 тыс. га больше, чем в 2024 году.</w:t>
      </w:r>
    </w:p>
    <w:p>
      <w:pPr>
        <w:spacing w:after="120"/>
        <w:ind w:firstLine="567"/>
        <w:jc w:val="both"/>
      </w:pPr>
      <w:r>
        <w:rPr>
          <w:rFonts w:ascii="Arial" w:cs="Arial" w:eastAsia="Arial" w:hAnsi="Arial"/>
          <w:sz w:val="24"/>
          <w:szCs w:val="24"/>
        </w:rPr>
        <w:t xml:space="preserve">Рост объемов в растениеводстве будет обеспечен путем расширения производства следующих культур:</w:t>
      </w:r>
    </w:p>
    <w:p>
      <w:pPr>
        <w:spacing w:after="120"/>
        <w:ind w:firstLine="567"/>
        <w:jc w:val="both"/>
      </w:pPr>
      <w:r>
        <w:rPr>
          <w:rFonts w:ascii="Arial" w:cs="Arial" w:eastAsia="Arial" w:hAnsi="Arial"/>
          <w:sz w:val="24"/>
          <w:szCs w:val="24"/>
        </w:rPr>
        <w:t xml:space="preserve">- зерновые культуры - на 3,0% путем увеличения посевной площади до 676,9 тыс. га (на 8,9 тыс. га), с целью обеспечения необходимого объема продукции для производства муки и хлебопродуктов из собственного сырья;</w:t>
      </w:r>
    </w:p>
    <w:p>
      <w:pPr>
        <w:spacing w:after="120"/>
        <w:ind w:firstLine="567"/>
        <w:jc w:val="both"/>
      </w:pPr>
      <w:r>
        <w:rPr>
          <w:rFonts w:ascii="Arial" w:cs="Arial" w:eastAsia="Arial" w:hAnsi="Arial"/>
          <w:sz w:val="24"/>
          <w:szCs w:val="24"/>
        </w:rPr>
        <w:t xml:space="preserve">- сахарной свеклы - на 8,6% за счет увеличения посевной площади до 15,0 тыс. га (на 1,5 тыс. га);</w:t>
      </w:r>
    </w:p>
    <w:p>
      <w:pPr>
        <w:spacing w:after="120"/>
        <w:ind w:firstLine="567"/>
        <w:jc w:val="both"/>
      </w:pPr>
      <w:r>
        <w:rPr>
          <w:rFonts w:ascii="Arial" w:cs="Arial" w:eastAsia="Arial" w:hAnsi="Arial"/>
          <w:sz w:val="24"/>
          <w:szCs w:val="24"/>
        </w:rPr>
        <w:t xml:space="preserve">- масличные культуры - на 8,4% за счет увеличения посевной площади до 17 тыс. га.</w:t>
      </w:r>
    </w:p>
    <w:p>
      <w:pPr>
        <w:spacing w:after="120"/>
        <w:ind w:firstLine="567"/>
        <w:jc w:val="both"/>
      </w:pPr>
      <w:r>
        <w:rPr>
          <w:rFonts w:ascii="Arial" w:cs="Arial" w:eastAsia="Arial" w:hAnsi="Arial"/>
          <w:sz w:val="24"/>
          <w:szCs w:val="24"/>
        </w:rPr>
        <w:t xml:space="preserve">Рост производства продукции животноводства на уровне 3,1% ожидается за счет обеспечения благополучной эпизоотической ситуации в стране, увеличения поголовья скота, улучшения генофонда племенных животных, а также осуществления мер по воспроизводству стада.</w:t>
      </w:r>
    </w:p>
    <w:p>
      <w:pPr>
        <w:spacing w:after="12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0,34 п.п., удельный вес в структуре производства ВВП - 8,2%.</w:t>
      </w:r>
    </w:p>
    <w:p>
      <w:pPr>
        <w:spacing w:after="120"/>
        <w:ind w:firstLine="567"/>
        <w:jc w:val="both"/>
      </w:pPr>
      <w:r>
        <w:rPr>
          <w:rFonts w:ascii="Arial" w:cs="Arial" w:eastAsia="Arial" w:hAnsi="Arial"/>
          <w:sz w:val="24"/>
          <w:szCs w:val="24"/>
        </w:rPr>
        <w:t xml:space="preserve">В промышленном секторе в 2025 году в целом ожидается увеличение объема производства на 7,7%, без золота - на 10,3%.</w:t>
      </w:r>
    </w:p>
    <w:p>
      <w:pPr>
        <w:spacing w:after="120"/>
        <w:ind w:firstLine="567"/>
        <w:jc w:val="both"/>
      </w:pPr>
      <w:r>
        <w:rPr>
          <w:rFonts w:ascii="Arial" w:cs="Arial" w:eastAsia="Arial" w:hAnsi="Arial"/>
          <w:sz w:val="24"/>
          <w:szCs w:val="24"/>
        </w:rPr>
        <w:t xml:space="preserve">Ожидается прирост объемов обрабатывающего производства за счет:</w:t>
      </w:r>
    </w:p>
    <w:p>
      <w:pPr>
        <w:spacing w:after="120"/>
        <w:ind w:firstLine="567"/>
        <w:jc w:val="both"/>
      </w:pPr>
      <w:r>
        <w:rPr>
          <w:rFonts w:ascii="Arial" w:cs="Arial" w:eastAsia="Arial" w:hAnsi="Arial"/>
          <w:sz w:val="24"/>
          <w:szCs w:val="24"/>
        </w:rPr>
        <w:t xml:space="preserve">- увеличения физического объема производства основного металла на 5% за счет стабильной работы предприятий по разработке месторождений Кумтор, Джеруй и Талды-Булак-Левобережный, которые занимают значительную долю в общем объеме промышленного производства (40%), где фактические объемы сохранятся на уровне сложившихся данных за 2024 год. При этом увеличение ожидается за счет наращивания объемов производства основных металлов на руднике Терек-Сай (Чаткальский район Джалал-Абадской области) общество с ограниченной ответственностью (далее - ОсОО) "Эти Бакыр Терексай", а также на руднике ОсОО "Макмал Голд Компани", где успешно проведена модернизация;</w:t>
      </w:r>
    </w:p>
    <w:p>
      <w:pPr>
        <w:spacing w:after="120"/>
        <w:ind w:firstLine="567"/>
        <w:jc w:val="both"/>
      </w:pPr>
      <w:r>
        <w:rPr>
          <w:rFonts w:ascii="Arial" w:cs="Arial" w:eastAsia="Arial" w:hAnsi="Arial"/>
          <w:sz w:val="24"/>
          <w:szCs w:val="24"/>
        </w:rPr>
        <w:t xml:space="preserve">- увеличения объемов производства продуктов (включая напитки) и табачных изделий в 2025 году на 15% за счет ожидаемого роста валового объема сельского хозяйства, внедрения кластерного подхода - объединение цепочки добавленной стоимости от фермера до агрегатора, активизации работы по финансированию 18 экспортно-ориентированных кластерных объединений;</w:t>
      </w:r>
    </w:p>
    <w:p>
      <w:pPr>
        <w:spacing w:after="120"/>
        <w:ind w:firstLine="567"/>
        <w:jc w:val="both"/>
      </w:pPr>
      <w:r>
        <w:rPr>
          <w:rFonts w:ascii="Arial" w:cs="Arial" w:eastAsia="Arial" w:hAnsi="Arial"/>
          <w:sz w:val="24"/>
          <w:szCs w:val="24"/>
        </w:rPr>
        <w:t xml:space="preserve">- роста объемов текстильного и швейного производства на 11% за счет реализации проектов в рамках запуска II этапа строительства текстильной фабрики с увеличением производственной мощности ОсОО "Текстиль Транс" (г.Токмок), открытия хлопкоочистительного завода в промышленной зоне г.Токмок с производственной мощностью 12 тысяч тонн волокна в год, текстильной фабрики ОсОО "Зилан Эверсун текстиль" (г.Кара-Балта), которая специализируется на изготовлении текстильных полотен из полиэстера и лайкры. Также ожидается наращивание объемов производства на запущенных текстильно-швейных предприятиях ОсОО "ЕвроАзия групп" в г.Ош, ОсОО "Aiko Seiko" в Таласской области, ОсОО "ДОСМАРКО" в Чуйской области и г.Ош. Кроме того, одним из ключевых факторов роста будет диверсификация экспортных рынков с продвижением отечественной продукции, активное развитие рынка электронной коммерции с созданием соответствующей инфраструктуры и использованием маркетплейсов (Wildberries открыл сортировочные центры в Бишкеке и Оше, а также начато строительство крупного логистического хаба в Чуйской области. На платформе зарегистрировано свыше 17 тысяч кыргызских продавцов, что открывает новые возможности для наращивания объемов производства);</w:t>
      </w:r>
    </w:p>
    <w:p>
      <w:pPr>
        <w:spacing w:after="120"/>
        <w:ind w:firstLine="567"/>
        <w:jc w:val="both"/>
      </w:pPr>
      <w:r>
        <w:rPr>
          <w:rFonts w:ascii="Arial" w:cs="Arial" w:eastAsia="Arial" w:hAnsi="Arial"/>
          <w:sz w:val="24"/>
          <w:szCs w:val="24"/>
        </w:rPr>
        <w:t xml:space="preserve">- увеличения объемов производства нефтепродуктов на 10% за счет активизации деятельности ОсОО "Чайна Петроль Компани "Джунда" и ЗАО "Кыргыз Петролеум Компани". На нефтеперерабатывающем заводе "Джунда" завершен капитальный ремонт производственных установок и вспомогательного оборудования, что обеспечит непрерывную, безопасную и стабильную работу завода после четырехлетнего перерыва, который восстановит объемы производства в количестве более 300 тыс. тонн в год (за 2020-2023 годы выпуск в среднем только 38,3 тыс. тонн). Компания обеспечит более 900 рабочих мест. Завершено базовое проектирование проекта модернизации НПЗ, проведены геологические изыскания, построены несколько вспомогательных объектов, включая склад серы и растворно-бетонный узел. Кроме того, ЗАО "Кыргыз Петролеум Компани" будет реализовано Инвестиционное соглашение о реализации проекта по модернизации и реконструкции нефтеперерабатывающего завода ЗАО "Кыргыз Петролеум Компани" между Кабинетом Министров Кыргызской Республики, ОАО "Кыргызнефтегаз", компанией "SPEC ENGINEERING INC" и ЗАО "Кыргыз Петролеум Компани", что позволит нарастить объемы на данном предприятии;</w:t>
      </w:r>
    </w:p>
    <w:p>
      <w:pPr>
        <w:spacing w:after="120"/>
        <w:ind w:firstLine="567"/>
        <w:jc w:val="both"/>
      </w:pPr>
      <w:r>
        <w:rPr>
          <w:rFonts w:ascii="Arial" w:cs="Arial" w:eastAsia="Arial" w:hAnsi="Arial"/>
          <w:sz w:val="24"/>
          <w:szCs w:val="24"/>
        </w:rPr>
        <w:t xml:space="preserve">- роста производства строительных материалов на 16,0% за счет устойчивой производственной деятельности действующих предприятий для обеспечения потребности строительного сектора, где в 2025 году ожидается рост на 17%. При этом увеличение ожидается за счет наращивания объемов производства запущенного нового завода "Терек-Таш" в Кеминском районе Чуйской области по производству клинкера и цемента мощностью 1,7 млн. тонн в год. В 2025 году работа по запуску предприятий по производству стройматериалов будет продолжена: открытие завода по производству керамической плитки ОсОО "Асылташ", производство базальтового волокна ОсОО "ИзоПенопласт ЛТД", новая линия производства ОсОО "Кантский цементный завод" и другие;</w:t>
      </w:r>
    </w:p>
    <w:p>
      <w:pPr>
        <w:spacing w:after="120"/>
        <w:ind w:firstLine="567"/>
        <w:jc w:val="both"/>
      </w:pPr>
      <w:r>
        <w:rPr>
          <w:rFonts w:ascii="Arial" w:cs="Arial" w:eastAsia="Arial" w:hAnsi="Arial"/>
          <w:sz w:val="24"/>
          <w:szCs w:val="24"/>
        </w:rPr>
        <w:t xml:space="preserve">- наращивания объемов производства фармацевтической продукции на 7% (после высокой базы 2023-2024 годов - 134,9% - 121,7%) за счет стабильной работы действующих производств, а также наращивания объемов запущенного в 2024 году нового завода "Биовит" по производству инфузионных растворов, инъекций в ампулах и глазных капель в Сокулукском районе Чуйской области, который соответствует GMP стандарту, основное оборудование и склады также соответствуют международным стандартам;</w:t>
      </w:r>
    </w:p>
    <w:p>
      <w:pPr>
        <w:spacing w:after="120"/>
        <w:ind w:firstLine="567"/>
        <w:jc w:val="both"/>
      </w:pPr>
      <w:r>
        <w:rPr>
          <w:rFonts w:ascii="Arial" w:cs="Arial" w:eastAsia="Arial" w:hAnsi="Arial"/>
          <w:sz w:val="24"/>
          <w:szCs w:val="24"/>
        </w:rPr>
        <w:t xml:space="preserve">- роста производства машин и оборудования на 12% за счет активной деятельности предприятий отрасли по расширению номенклатуры выпускаемой продукции ОАО "ТНК "Дастан", ОсОО "Кыргыз Унаа Курулуш", ОсОО "Скай Индастриал Групп", ГП "Бишкекский штамповочный завод" и др. В целях модернизации производственных линий ГП "Бишкекский штамповочный завод" и поддержания отечественного производителя выделен бюджетный кредит на сумму 3,8 млрд. сомов сроком на 10 лет, который позволит расширить ассортимент продукции, будет способствовать импортозамещению и снизит себестоимость продукции. Кроме того, ожидается увеличение объемов производства на запущенном высокотехнологичном многоотраслевом заводе по изготовлению лифтового оборудования и подъемных механизмов последнего поколения ОсОО "Скай Индастриал Групп", где технологическая линия спроектирована совместно со специалистами из Южной Кореи, Китая и Кыргызстана. Планируется, что лифты ОсОО "Скай Индастриал Групп" будут установлены в ключевых объектах государственного и частного секторов по всей стране;</w:t>
      </w:r>
    </w:p>
    <w:p>
      <w:pPr>
        <w:spacing w:after="120"/>
        <w:ind w:firstLine="567"/>
        <w:jc w:val="both"/>
      </w:pPr>
      <w:r>
        <w:rPr>
          <w:rFonts w:ascii="Arial" w:cs="Arial" w:eastAsia="Arial" w:hAnsi="Arial"/>
          <w:sz w:val="24"/>
          <w:szCs w:val="24"/>
        </w:rPr>
        <w:t xml:space="preserve">- роста производства транспортных средств почти в 2 раза за счет наращивания производственных мощностей ОсОО "Автомаш-радиатор", ОАО "ТНК Шумкар", специализирующегося на сборке тяжелых грузовых автомобилей и машин специального назначения серии SHACMAN, ОсОО "ДТ-Техник", завода "Тулпар Моторс" по производству легковых, грузовых автомобилей и автобусов, в перспективе на предприятии будет производиться порядка 20 моделей автотранспортных средств. Также ожидается рост производства прочих транспортных средств, которые включают выпуск сельхозтехники, мотоциклов, велосипедов и другого спецтранспорта.</w:t>
      </w:r>
    </w:p>
    <w:p>
      <w:pPr>
        <w:spacing w:after="120"/>
        <w:ind w:firstLine="567"/>
        <w:jc w:val="both"/>
      </w:pPr>
      <w:r>
        <w:rPr>
          <w:rFonts w:ascii="Arial" w:cs="Arial" w:eastAsia="Arial" w:hAnsi="Arial"/>
          <w:sz w:val="24"/>
          <w:szCs w:val="24"/>
        </w:rPr>
        <w:t xml:space="preserve">Ожидается рост объемов добычи полезных ископаемых за счет увеличения добычи угля на 5,8%, сырой нефти и природного газа - на 2,7% и металлических руд - на 3,5%, прочих полезных ископаемых - на 8,8%. Наибольшую долю в данной отрасли будет занимать добыча металлических руд (более 65%).</w:t>
      </w:r>
    </w:p>
    <w:p>
      <w:pPr>
        <w:spacing w:after="120"/>
        <w:ind w:firstLine="567"/>
        <w:jc w:val="both"/>
      </w:pPr>
      <w:r>
        <w:rPr>
          <w:rFonts w:ascii="Arial" w:cs="Arial" w:eastAsia="Arial" w:hAnsi="Arial"/>
          <w:sz w:val="24"/>
          <w:szCs w:val="24"/>
        </w:rPr>
        <w:t xml:space="preserve">В 2025 году ожидается увеличение объемов обеспечения (снабжение) электроэнергией, газом, паром и кондиционированным воздухом на 5,4% за счет роста выработки электроэнергии с учетом ее объемов передачи и распределения на 5% и роста производства газа и распределения газообразного топлива через системы газоснабжения на 8,7%. В 2025 году ожидается увеличение общей планируемой мощности - 127,3 МВт (в том числе МГЭС 58,3 МВт) за счет реконструкции третьего гидроагрегата Уч-Курганской ГЭС, мощность увеличивается на 9 МВт; третьего гидроагрегата Токтогульской ГЭС, мощность увеличивается на 60 МВт. Также планируется ввод в эксплуатацию 19 малых гидроэлектростанций. Для полного удовлетворения потребности секторов экономики и населения запланирован импорт недостающего объема электроэнергии в количестве 3800 млн. кВтч.</w:t>
      </w:r>
    </w:p>
    <w:p>
      <w:pPr>
        <w:spacing w:after="120"/>
        <w:ind w:firstLine="567"/>
        <w:jc w:val="both"/>
      </w:pPr>
      <w:r>
        <w:rPr>
          <w:rFonts w:ascii="Arial" w:cs="Arial" w:eastAsia="Arial" w:hAnsi="Arial"/>
          <w:sz w:val="24"/>
          <w:szCs w:val="24"/>
        </w:rPr>
        <w:t xml:space="preserve">Положительное влияние промышленного сектора на темпы экономического роста составит 1,3 п.п., удельный вес в структуре производства ВВП - 16,3%.</w:t>
      </w:r>
    </w:p>
    <w:p>
      <w:pPr>
        <w:spacing w:after="120"/>
        <w:ind w:firstLine="567"/>
        <w:jc w:val="both"/>
      </w:pPr>
      <w:r>
        <w:rPr>
          <w:rFonts w:ascii="Arial" w:cs="Arial" w:eastAsia="Arial" w:hAnsi="Arial"/>
          <w:sz w:val="24"/>
          <w:szCs w:val="24"/>
        </w:rPr>
        <w:t xml:space="preserve">В строительном секторе реальный рост общего объема валовой продукции строительства в 2025 году ожидается на уровне 16,9% и составит 360,4 млрд. сомов за счет ожидаемого увеличения капитальных вложений на 16,1%.</w:t>
      </w:r>
    </w:p>
    <w:p>
      <w:pPr>
        <w:spacing w:after="120"/>
        <w:ind w:firstLine="567"/>
        <w:jc w:val="both"/>
      </w:pPr>
      <w:r>
        <w:rPr>
          <w:rFonts w:ascii="Arial" w:cs="Arial" w:eastAsia="Arial" w:hAnsi="Arial"/>
          <w:sz w:val="24"/>
          <w:szCs w:val="24"/>
        </w:rPr>
        <w:t xml:space="preserve">За счет внутренних источников финансирования предусмотрено поступление капитальных вложений:</w:t>
      </w:r>
    </w:p>
    <w:p>
      <w:pPr>
        <w:spacing w:after="120"/>
        <w:ind w:firstLine="567"/>
        <w:jc w:val="both"/>
      </w:pPr>
      <w:r>
        <w:rPr>
          <w:rFonts w:ascii="Arial" w:cs="Arial" w:eastAsia="Arial" w:hAnsi="Arial"/>
          <w:sz w:val="24"/>
          <w:szCs w:val="24"/>
        </w:rPr>
        <w:t xml:space="preserve">1) из республиканского бюджета по статье "Капитальные вложения" в сумме 10,0 млрд. сомов. В первоочередном порядке ресурсы государственных капитальных вложений будут направлены: на завершение ранее начатых объектов строительства и их сдачу в эксплуатацию; на развитие автомобильных дорог стратегического значения и автодорог, находящихся в приграничных районах республики в целом; в соответствии с государственной программой строительства водохозяйственных сооружений, ирригационных каналов, что позволит осваивать значительные площади новых орошаемых земель в регионах страны; на другие объекты строительства и реконструкции, с учетом концепции регионального развития и отраслевых экономических программ.</w:t>
      </w:r>
    </w:p>
    <w:p>
      <w:pPr>
        <w:spacing w:after="120"/>
        <w:ind w:firstLine="567"/>
        <w:jc w:val="both"/>
      </w:pPr>
      <w:r>
        <w:rPr>
          <w:rFonts w:ascii="Arial" w:cs="Arial" w:eastAsia="Arial" w:hAnsi="Arial"/>
          <w:sz w:val="24"/>
          <w:szCs w:val="24"/>
        </w:rPr>
        <w:t xml:space="preserve">Кроме того, в 2025 году, в целях решения поставленных задач по обеспечению финансирования строительства, капитального ремонта, реконструкции социально-экономических объектов, систем питьевого водоснабжения, ирригационных сооружений и автомобильных дорог будет произведен выпуск государственных казначейских облигаций на сумму 15 млрд. сомов;</w:t>
      </w:r>
    </w:p>
    <w:p>
      <w:pPr>
        <w:spacing w:after="120"/>
        <w:ind w:firstLine="567"/>
        <w:jc w:val="both"/>
      </w:pPr>
      <w:r>
        <w:rPr>
          <w:rFonts w:ascii="Arial" w:cs="Arial" w:eastAsia="Arial" w:hAnsi="Arial"/>
          <w:sz w:val="24"/>
          <w:szCs w:val="24"/>
        </w:rPr>
        <w:t xml:space="preserve">2) из местного бюджета, по г.Бишкек:</w:t>
      </w:r>
    </w:p>
    <w:p>
      <w:pPr>
        <w:spacing w:after="120"/>
        <w:ind w:firstLine="567"/>
        <w:jc w:val="both"/>
      </w:pPr>
      <w:r>
        <w:rPr>
          <w:rFonts w:ascii="Arial" w:cs="Arial" w:eastAsia="Arial" w:hAnsi="Arial"/>
          <w:sz w:val="24"/>
          <w:szCs w:val="24"/>
        </w:rPr>
        <w:t xml:space="preserve">- строительство спортивного комплекса "Алга" с общим объемом инвестиций 890 млн. сомов, из них в 2025 году будет освоено 494 млн. сомов;</w:t>
      </w:r>
    </w:p>
    <w:p>
      <w:pPr>
        <w:spacing w:after="120"/>
        <w:ind w:firstLine="567"/>
        <w:jc w:val="both"/>
      </w:pPr>
      <w:r>
        <w:rPr>
          <w:rFonts w:ascii="Arial" w:cs="Arial" w:eastAsia="Arial" w:hAnsi="Arial"/>
          <w:sz w:val="24"/>
          <w:szCs w:val="24"/>
        </w:rPr>
        <w:t xml:space="preserve">- строительство малой спортивной арены стадиона им.Д.Омурзакова на 5 тыс. зрительских мест с общим объемом инвестиций 914,2 млн. сомов, из них в 2025 году будет освоено 432,4 млн. сомов;</w:t>
      </w:r>
    </w:p>
    <w:p>
      <w:pPr>
        <w:spacing w:after="120"/>
        <w:ind w:firstLine="567"/>
        <w:jc w:val="both"/>
      </w:pPr>
      <w:r>
        <w:rPr>
          <w:rFonts w:ascii="Arial" w:cs="Arial" w:eastAsia="Arial" w:hAnsi="Arial"/>
          <w:sz w:val="24"/>
          <w:szCs w:val="24"/>
        </w:rPr>
        <w:t xml:space="preserve">- реабилитация 8 центральных дорог - 1374 млн. сомов;</w:t>
      </w:r>
    </w:p>
    <w:p>
      <w:pPr>
        <w:spacing w:after="120"/>
        <w:ind w:firstLine="567"/>
        <w:jc w:val="both"/>
      </w:pPr>
      <w:r>
        <w:rPr>
          <w:rFonts w:ascii="Arial" w:cs="Arial" w:eastAsia="Arial" w:hAnsi="Arial"/>
          <w:sz w:val="24"/>
          <w:szCs w:val="24"/>
        </w:rPr>
        <w:t xml:space="preserve">- строительство 4 новых дорог;</w:t>
      </w:r>
    </w:p>
    <w:p>
      <w:pPr>
        <w:spacing w:after="120"/>
        <w:ind w:firstLine="567"/>
        <w:jc w:val="both"/>
      </w:pPr>
      <w:r>
        <w:rPr>
          <w:rFonts w:ascii="Arial" w:cs="Arial" w:eastAsia="Arial" w:hAnsi="Arial"/>
          <w:sz w:val="24"/>
          <w:szCs w:val="24"/>
        </w:rPr>
        <w:t xml:space="preserve">- реконструкция автомобильной дороги до аэропорта "Манас";</w:t>
      </w:r>
    </w:p>
    <w:p>
      <w:pPr>
        <w:spacing w:after="120"/>
        <w:ind w:firstLine="567"/>
        <w:jc w:val="both"/>
      </w:pPr>
      <w:r>
        <w:rPr>
          <w:rFonts w:ascii="Arial" w:cs="Arial" w:eastAsia="Arial" w:hAnsi="Arial"/>
          <w:sz w:val="24"/>
          <w:szCs w:val="24"/>
        </w:rPr>
        <w:t xml:space="preserve">- строительство трех новых мостов (на улицах Шукуров, Ауэзов, на проспекте Жибек Жолу) - 303,9 млн. сомов;</w:t>
      </w:r>
    </w:p>
    <w:p>
      <w:pPr>
        <w:spacing w:after="120"/>
        <w:ind w:firstLine="567"/>
        <w:jc w:val="both"/>
      </w:pPr>
      <w:r>
        <w:rPr>
          <w:rFonts w:ascii="Arial" w:cs="Arial" w:eastAsia="Arial" w:hAnsi="Arial"/>
          <w:sz w:val="24"/>
          <w:szCs w:val="24"/>
        </w:rPr>
        <w:t xml:space="preserve">- реконструкция и модернизация очистных сооружений с общим объемом инвестиций 56 млн. долл. США, из них в 2025 году будет освоено 39 млн. долл., в 2026 году - 17 млн. долл. США.</w:t>
      </w:r>
    </w:p>
    <w:p>
      <w:pPr>
        <w:spacing w:after="120"/>
        <w:ind w:firstLine="567"/>
        <w:jc w:val="both"/>
      </w:pPr>
      <w:r>
        <w:rPr>
          <w:rFonts w:ascii="Arial" w:cs="Arial" w:eastAsia="Arial" w:hAnsi="Arial"/>
          <w:sz w:val="24"/>
          <w:szCs w:val="24"/>
        </w:rPr>
        <w:t xml:space="preserve">Кроме того, из местного бюджета г.Бишкек будет осуществлено строительство следующих объектов: Национального центра травматологии и ортопедии; нового Ошского рынка; строительство многофункционального комплекса "Роял Централ Парк" на месте бывшего ипподрома "Ак-Кула" с общим объемом инвестиций 3,0 млрд. долл. США, часть этих средств будет освоена в 2025 году; строительство нового ипподрома "Ак-Кула"; экотехнологического завода по производству электроэнергии путем утилизации твердых бытовых отходов с объемом инвестиций в 95 млн. долл. США; реализация проекта "Развитие улично-дорожной сети" (Фаза-3). Строительство транспортных развязок за счет средств КНР с общим объемом инвестиций 220 млн. китайских юаней, из них в 2025 году будет освоено 110 млн.; строительство, функционирование, выработка, эксплуатация и обслуживание электростанции комбинированного цикла, работающей на природном газе, установленной мощностью более 250 МВт на территории ТЭЦ-2 города Бишкек, с общим объемом инвестиций 210 млн. долл. США, часть этих средств будет освоена в 2025 году; техническое оснащение ТЭЦ "Бишкексельмаш" с общим объемом инвестиций 300 млн. долл. США, часть этих средств будет освоена в 2025 году; строительство современного конгресс-холла на месте снесенного комплекса ВДНХ; строительство многоярусных парковок и дорожных развязок;</w:t>
      </w:r>
    </w:p>
    <w:p>
      <w:pPr>
        <w:spacing w:after="120"/>
        <w:ind w:firstLine="567"/>
        <w:jc w:val="both"/>
      </w:pPr>
      <w:r>
        <w:rPr>
          <w:rFonts w:ascii="Arial" w:cs="Arial" w:eastAsia="Arial" w:hAnsi="Arial"/>
          <w:sz w:val="24"/>
          <w:szCs w:val="24"/>
        </w:rPr>
        <w:t xml:space="preserve">3) за счет средств предприятий и организаций в сумме 99,8 млрд. сомов (за счет инвестиций ЗАО "Кумтор Голд Компани" (43948,3 млн. сомов); ОАО "Кыргызалтын" (422,0 млн. сомов) и др.</w:t>
      </w:r>
    </w:p>
    <w:p>
      <w:pPr>
        <w:spacing w:after="120"/>
        <w:ind w:firstLine="567"/>
        <w:jc w:val="both"/>
      </w:pPr>
      <w:r>
        <w:rPr>
          <w:rFonts w:ascii="Arial" w:cs="Arial" w:eastAsia="Arial" w:hAnsi="Arial"/>
          <w:sz w:val="24"/>
          <w:szCs w:val="24"/>
        </w:rPr>
        <w:t xml:space="preserve">Кроме того, в 2025 году ГИК продолжится работа по развитию доступного социального жилья, увеличению объемов жилищного строительства в рамках программы "Менин үйүм". В 2025 году планируется сдача в эксплуатацию 7636 квартир, из них в г.Бишкек - 4055 квартир, в Джалал-Абадской области - 2409 квартир, в Иссык-Кульской области - 420 квартир, в Нарынской области - 433 квартиры, в Таласской области - 319 квартир.</w:t>
      </w:r>
    </w:p>
    <w:p>
      <w:pPr>
        <w:spacing w:after="120"/>
        <w:ind w:firstLine="567"/>
        <w:jc w:val="both"/>
      </w:pPr>
      <w:r>
        <w:rPr>
          <w:rFonts w:ascii="Arial" w:cs="Arial" w:eastAsia="Arial" w:hAnsi="Arial"/>
          <w:sz w:val="24"/>
          <w:szCs w:val="24"/>
        </w:rPr>
        <w:t xml:space="preserve">В рамках реализации жилищной программы предусмотрено использование средств международных и внутренних источников финансирования для различных направлений развития жилищного сектора. Средства СФР в размере 100 млн. долл. США и ИБР в размере 79 млн. долл. США будут направлены на финансирование строительства новых жилых объектов, что позволит значительно увеличить объемы доступного жилья для граждан Кыргызской Республики;</w:t>
      </w:r>
    </w:p>
    <w:p>
      <w:pPr>
        <w:spacing w:after="120"/>
        <w:ind w:firstLine="567"/>
        <w:jc w:val="both"/>
      </w:pPr>
      <w:r>
        <w:rPr>
          <w:rFonts w:ascii="Arial" w:cs="Arial" w:eastAsia="Arial" w:hAnsi="Arial"/>
          <w:sz w:val="24"/>
          <w:szCs w:val="24"/>
        </w:rPr>
        <w:t xml:space="preserve">4) за счет средств населения в сумме 99,0 млрд. сомов.</w:t>
      </w:r>
    </w:p>
    <w:p>
      <w:pPr>
        <w:spacing w:after="120"/>
        <w:ind w:firstLine="567"/>
        <w:jc w:val="both"/>
      </w:pPr>
      <w:r>
        <w:rPr>
          <w:rFonts w:ascii="Arial" w:cs="Arial" w:eastAsia="Arial" w:hAnsi="Arial"/>
          <w:sz w:val="24"/>
          <w:szCs w:val="24"/>
        </w:rPr>
        <w:t xml:space="preserve">За счет внешних источников финансирования:</w:t>
      </w:r>
    </w:p>
    <w:p>
      <w:pPr>
        <w:spacing w:after="120"/>
        <w:ind w:firstLine="567"/>
        <w:jc w:val="both"/>
      </w:pPr>
      <w:r>
        <w:rPr>
          <w:rFonts w:ascii="Arial" w:cs="Arial" w:eastAsia="Arial" w:hAnsi="Arial"/>
          <w:sz w:val="24"/>
          <w:szCs w:val="24"/>
        </w:rPr>
        <w:t xml:space="preserve">- иностранных кредитов, иностранных грантов и гуманитарной помощи (ожидается в сумме 40,8 млрд. сомов);</w:t>
      </w:r>
    </w:p>
    <w:p>
      <w:pPr>
        <w:spacing w:after="120"/>
        <w:ind w:firstLine="567"/>
        <w:jc w:val="both"/>
      </w:pPr>
      <w:r>
        <w:rPr>
          <w:rFonts w:ascii="Arial" w:cs="Arial" w:eastAsia="Arial" w:hAnsi="Arial"/>
          <w:sz w:val="24"/>
          <w:szCs w:val="24"/>
        </w:rPr>
        <w:t xml:space="preserve">- увеличения объемов прямых иностранных инвестиций до 21,4 млрд. сомов: ОсОО "KAZ Minerals Bozymchak" (1393,6 млн. сомов); ОсОО "Full gold mining" (1232,5 млн. сомов); ЗАО "Чаарат Заав" (5478,6 млн. сомов); ОсОО "Альянс Алтын" (5014,0 млн. сомов); ОсОО "Газпром Кыргызстан" (886,0 млн. сомов); ОсОО "Эти Бакыр Терексай" (2199,4 млн. сомов) и др.</w:t>
      </w:r>
    </w:p>
    <w:p>
      <w:pPr>
        <w:spacing w:after="120"/>
        <w:ind w:firstLine="567"/>
        <w:jc w:val="both"/>
      </w:pPr>
      <w:r>
        <w:rPr>
          <w:rFonts w:ascii="Arial" w:cs="Arial" w:eastAsia="Arial" w:hAnsi="Arial"/>
          <w:sz w:val="24"/>
          <w:szCs w:val="24"/>
        </w:rPr>
        <w:t xml:space="preserve">В 2025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w:t>
      </w:r>
    </w:p>
    <w:p>
      <w:pPr>
        <w:spacing w:after="120"/>
        <w:ind w:firstLine="567"/>
        <w:jc w:val="both"/>
      </w:pPr>
      <w:r>
        <w:rPr>
          <w:rFonts w:ascii="Arial" w:cs="Arial" w:eastAsia="Arial" w:hAnsi="Arial"/>
          <w:sz w:val="24"/>
          <w:szCs w:val="24"/>
        </w:rPr>
        <w:t xml:space="preserve">Объем бюджета государственных инвестиций составляет 44,2 млрд. сомов, из которых гранты - 13,5 млрд. сомов (30,5%), кредиты - 28,4 млрд. сомов (64,2%) и софинансирование Кабинета Министров Кыргызской Республики - 2,4 млрд. сомов (5,3%). Наибольшие объемы финансирования предусмотрены в секторе транспорта в размере 9,5 млрд. сомов (21,5% всех государственных инвестиций). В энергетической отрасли объемы финансирования предусмотрены в сумме 6,0 млрд. сомов (13,5% всех государственных инвестиций).</w:t>
      </w:r>
    </w:p>
    <w:p>
      <w:pPr>
        <w:spacing w:after="120"/>
        <w:ind w:firstLine="567"/>
        <w:jc w:val="both"/>
      </w:pPr>
      <w:r>
        <w:rPr>
          <w:rFonts w:ascii="Arial" w:cs="Arial" w:eastAsia="Arial" w:hAnsi="Arial"/>
          <w:sz w:val="24"/>
          <w:szCs w:val="24"/>
        </w:rPr>
        <w:t xml:space="preserve">Влияние строительной отрасли на темпы экономического роста будет положительным и составит 1,4 п.п., удельный вес строительства в структуре производства ВВП - 8,9%.</w:t>
      </w:r>
    </w:p>
    <w:p>
      <w:pPr>
        <w:spacing w:after="120"/>
        <w:ind w:firstLine="567"/>
        <w:jc w:val="both"/>
      </w:pPr>
      <w:r>
        <w:rPr>
          <w:rFonts w:ascii="Arial" w:cs="Arial" w:eastAsia="Arial" w:hAnsi="Arial"/>
          <w:sz w:val="24"/>
          <w:szCs w:val="24"/>
        </w:rPr>
        <w:t xml:space="preserve">В сфере услуг ожидаемые темпы роста в 2025 году составят 108,4%. При этом рост оптово-розничной торговли ожидается на 13,5%, в транспортной деятельности и перевозке грузов на 6,8%, услуг в сфере гостиниц и ресторанов - на 21,2%, а также услуги в сфере информации и связи - на 6,2%.</w:t>
      </w:r>
    </w:p>
    <w:p>
      <w:pPr>
        <w:spacing w:after="120"/>
        <w:ind w:firstLine="567"/>
        <w:jc w:val="both"/>
      </w:pPr>
      <w:r>
        <w:rPr>
          <w:rFonts w:ascii="Arial" w:cs="Arial" w:eastAsia="Arial" w:hAnsi="Arial"/>
          <w:sz w:val="24"/>
          <w:szCs w:val="24"/>
        </w:rPr>
        <w:t xml:space="preserve">Ожидаемые высокие темпы роста в сфере услуг характеризуются:</w:t>
      </w:r>
    </w:p>
    <w:p>
      <w:pPr>
        <w:spacing w:after="120"/>
        <w:ind w:firstLine="567"/>
        <w:jc w:val="both"/>
      </w:pPr>
      <w:r>
        <w:rPr>
          <w:rFonts w:ascii="Arial" w:cs="Arial" w:eastAsia="Arial" w:hAnsi="Arial"/>
          <w:sz w:val="24"/>
          <w:szCs w:val="24"/>
        </w:rPr>
        <w:t xml:space="preserve">- повышением потребительского спроса, обусловленного увеличением доходов населения;</w:t>
      </w:r>
    </w:p>
    <w:p>
      <w:pPr>
        <w:spacing w:after="120"/>
        <w:ind w:firstLine="567"/>
        <w:jc w:val="both"/>
      </w:pPr>
      <w:r>
        <w:rPr>
          <w:rFonts w:ascii="Arial" w:cs="Arial" w:eastAsia="Arial" w:hAnsi="Arial"/>
          <w:sz w:val="24"/>
          <w:szCs w:val="24"/>
        </w:rPr>
        <w:t xml:space="preserve">- переводом большинства видов услуг в цифровой формат и активизацией фискализации налоговых процедур;</w:t>
      </w:r>
    </w:p>
    <w:p>
      <w:pPr>
        <w:spacing w:after="120"/>
        <w:ind w:firstLine="567"/>
        <w:jc w:val="both"/>
      </w:pPr>
      <w:r>
        <w:rPr>
          <w:rFonts w:ascii="Arial" w:cs="Arial" w:eastAsia="Arial" w:hAnsi="Arial"/>
          <w:sz w:val="24"/>
          <w:szCs w:val="24"/>
        </w:rPr>
        <w:t xml:space="preserve">- увеличением частоты рейсов за счет реконструкции международного аэропорта "Манас" в 2025 году, по завершении которой создадутся дополнительные возможности для увеличения пассажиропотока, повысится безопасность полетов и снизятся операционные расходы;</w:t>
      </w:r>
    </w:p>
    <w:p>
      <w:pPr>
        <w:spacing w:after="120"/>
        <w:ind w:firstLine="567"/>
        <w:jc w:val="both"/>
      </w:pPr>
      <w:r>
        <w:rPr>
          <w:rFonts w:ascii="Arial" w:cs="Arial" w:eastAsia="Arial" w:hAnsi="Arial"/>
          <w:sz w:val="24"/>
          <w:szCs w:val="24"/>
        </w:rPr>
        <w:t xml:space="preserve">- расширением сети ресторанов и гостиниц, улучшением качества обслуживания;</w:t>
      </w:r>
    </w:p>
    <w:p>
      <w:pPr>
        <w:spacing w:after="120"/>
        <w:ind w:firstLine="567"/>
        <w:jc w:val="both"/>
      </w:pPr>
      <w:r>
        <w:rPr>
          <w:rFonts w:ascii="Arial" w:cs="Arial" w:eastAsia="Arial" w:hAnsi="Arial"/>
          <w:sz w:val="24"/>
          <w:szCs w:val="24"/>
        </w:rPr>
        <w:t xml:space="preserve">- увеличением притока туристов из ближнего и дальнего зарубежья за счет реализации мероприятий по развитию туристической инфраструктуры, включая строительство 10 точек отдыха (RestPoint) на наиболее оживленных туристических маршрутах и междугородних трассах. Одновременно ведется работа по запуску 40 туристических баз в различных регионах республики, что будет способствовать повышению доступности туристических объектов, расширению спектра туристических предложений и стимулированию развития местных экономик;</w:t>
      </w:r>
    </w:p>
    <w:p>
      <w:pPr>
        <w:spacing w:after="120"/>
        <w:ind w:firstLine="567"/>
        <w:jc w:val="both"/>
      </w:pPr>
      <w:r>
        <w:rPr>
          <w:rFonts w:ascii="Arial" w:cs="Arial" w:eastAsia="Arial" w:hAnsi="Arial"/>
          <w:sz w:val="24"/>
          <w:szCs w:val="24"/>
        </w:rPr>
        <w:t xml:space="preserve">- дальнейшим расширением крупных торговых сетей;</w:t>
      </w:r>
    </w:p>
    <w:p>
      <w:pPr>
        <w:spacing w:after="120"/>
        <w:ind w:firstLine="567"/>
        <w:jc w:val="both"/>
      </w:pPr>
      <w:r>
        <w:rPr>
          <w:rFonts w:ascii="Arial" w:cs="Arial" w:eastAsia="Arial" w:hAnsi="Arial"/>
          <w:sz w:val="24"/>
          <w:szCs w:val="24"/>
        </w:rPr>
        <w:t xml:space="preserve">- повышением качества транспортных услуг посредством приведения внутренней сети автомобильных дорог в соответствие с рабочими стандартами, обновлением и пополнением парка автотранспортных средств;</w:t>
      </w:r>
    </w:p>
    <w:p>
      <w:pPr>
        <w:spacing w:after="120"/>
        <w:ind w:firstLine="567"/>
        <w:jc w:val="both"/>
      </w:pPr>
      <w:r>
        <w:rPr>
          <w:rFonts w:ascii="Arial" w:cs="Arial" w:eastAsia="Arial" w:hAnsi="Arial"/>
          <w:sz w:val="24"/>
          <w:szCs w:val="24"/>
        </w:rPr>
        <w:t xml:space="preserve">- предоставлением населению высокотехнологичных, доступных информационно-коммуникационных услуг.</w:t>
      </w:r>
    </w:p>
    <w:p>
      <w:pPr>
        <w:spacing w:after="120"/>
        <w:ind w:firstLine="567"/>
        <w:jc w:val="both"/>
      </w:pPr>
      <w:r>
        <w:rPr>
          <w:rFonts w:ascii="Arial" w:cs="Arial" w:eastAsia="Arial" w:hAnsi="Arial"/>
          <w:sz w:val="24"/>
          <w:szCs w:val="24"/>
        </w:rPr>
        <w:t xml:space="preserve">Положительное влияние сферы услуг на темпы экономического роста будет наибольшим и оценивается на уровне 4,33 п.п., удельный вес в структуре производства ВВП - 52,1%.</w:t>
      </w:r>
    </w:p>
    <w:p>
      <w:pPr>
        <w:spacing w:after="120"/>
        <w:ind w:firstLine="567"/>
        <w:jc w:val="both"/>
      </w:pPr>
      <w:r>
        <w:rPr>
          <w:rFonts w:ascii="Arial" w:cs="Arial" w:eastAsia="Arial" w:hAnsi="Arial"/>
          <w:sz w:val="24"/>
          <w:szCs w:val="24"/>
        </w:rPr>
        <w:t xml:space="preserve">В 2025 году ожидается, что уровень инфляции будет находиться в рамках установленного среднесрочного диапазона в 5-7%.</w:t>
      </w:r>
    </w:p>
    <w:p>
      <w:pPr>
        <w:spacing w:after="120"/>
        <w:ind w:firstLine="567"/>
        <w:jc w:val="both"/>
      </w:pPr>
      <w:r>
        <w:rPr>
          <w:rFonts w:ascii="Arial" w:cs="Arial" w:eastAsia="Arial" w:hAnsi="Arial"/>
          <w:sz w:val="24"/>
          <w:szCs w:val="24"/>
        </w:rPr>
        <w:t xml:space="preserve">Уровень инфляции будет складываться под влиянием следующих факторов:</w:t>
      </w:r>
    </w:p>
    <w:p>
      <w:pPr>
        <w:spacing w:after="120"/>
        <w:ind w:firstLine="567"/>
        <w:jc w:val="both"/>
      </w:pPr>
      <w:r>
        <w:rPr>
          <w:rFonts w:ascii="Arial" w:cs="Arial" w:eastAsia="Arial" w:hAnsi="Arial"/>
          <w:sz w:val="24"/>
          <w:szCs w:val="24"/>
        </w:rPr>
        <w:t xml:space="preserve">- волатильность валютных курсов, создающая неопределенность в ценообразовании;</w:t>
      </w:r>
    </w:p>
    <w:p>
      <w:pPr>
        <w:spacing w:after="120"/>
        <w:ind w:firstLine="567"/>
        <w:jc w:val="both"/>
      </w:pPr>
      <w:r>
        <w:rPr>
          <w:rFonts w:ascii="Arial" w:cs="Arial" w:eastAsia="Arial" w:hAnsi="Arial"/>
          <w:sz w:val="24"/>
          <w:szCs w:val="24"/>
        </w:rPr>
        <w:t xml:space="preserve">- корректировка тарифов на коммунальные услуги в соответствии с Среднесрочной тарифной политикой Кыргызской Республики на электрическую энергию на 2025-2030 годы (с мая 2025 года тариф на электроэнергию для населения повысится до 1,37 сома), а также в соответствии с Среднесрочной тарифной политикой Кыргызской Республики на тепловую энергию и горячее водоснабжение на 2021-2025 годы (с 1 июня 2025 года тариф на отопление для населения повысится на 10%, на горячую воду - 14,1%);</w:t>
      </w:r>
    </w:p>
    <w:p>
      <w:pPr>
        <w:spacing w:after="120"/>
        <w:ind w:firstLine="567"/>
        <w:jc w:val="both"/>
      </w:pPr>
      <w:r>
        <w:rPr>
          <w:rFonts w:ascii="Arial" w:cs="Arial" w:eastAsia="Arial" w:hAnsi="Arial"/>
          <w:sz w:val="24"/>
          <w:szCs w:val="24"/>
        </w:rPr>
        <w:t xml:space="preserve">- зависимость внутреннего рынка от импорта товаров, волатильность цен на товарно-сырьевых рынках, а также сезонные изменения цен на продовольственные товары (фрукты, овощи);</w:t>
      </w:r>
    </w:p>
    <w:p>
      <w:pPr>
        <w:spacing w:after="120"/>
        <w:ind w:firstLine="567"/>
        <w:jc w:val="both"/>
      </w:pPr>
      <w:r>
        <w:rPr>
          <w:rFonts w:ascii="Arial" w:cs="Arial" w:eastAsia="Arial" w:hAnsi="Arial"/>
          <w:sz w:val="24"/>
          <w:szCs w:val="24"/>
        </w:rPr>
        <w:t xml:space="preserve">- временный запрет и возможное его продление на экспорт бензина, дизельного топлива и отдельных нефтепродуктов автомобильным транспортом, включая поставки в страны ЕАЭС из Казахстана (с 1 февраля по 30 июня 2025 года), а также ограничения на вывоз нефтепродуктов железнодорожным транспортом;</w:t>
      </w:r>
    </w:p>
    <w:p>
      <w:pPr>
        <w:spacing w:after="120"/>
        <w:ind w:firstLine="567"/>
        <w:jc w:val="both"/>
      </w:pPr>
      <w:r>
        <w:rPr>
          <w:rFonts w:ascii="Arial" w:cs="Arial" w:eastAsia="Arial" w:hAnsi="Arial"/>
          <w:sz w:val="24"/>
          <w:szCs w:val="24"/>
        </w:rPr>
        <w:t xml:space="preserve">- повышение тарифов на железнодорожные грузоперевозки в Казахстане (с 7 марта 2025 года стоимость перевозок возросла на 16%), что окажет влияние на цены горюче-смазочных материалов и других товаров на внутреннем рынке Кыргызской Республики;</w:t>
      </w:r>
    </w:p>
    <w:p>
      <w:pPr>
        <w:spacing w:after="120"/>
        <w:ind w:firstLine="567"/>
        <w:jc w:val="both"/>
      </w:pPr>
      <w:r>
        <w:rPr>
          <w:rFonts w:ascii="Arial" w:cs="Arial" w:eastAsia="Arial" w:hAnsi="Arial"/>
          <w:sz w:val="24"/>
          <w:szCs w:val="24"/>
        </w:rPr>
        <w:t xml:space="preserve">- риски импортируемой инфляции из соседних стран;</w:t>
      </w:r>
    </w:p>
    <w:p>
      <w:pPr>
        <w:spacing w:after="120"/>
        <w:ind w:firstLine="567"/>
        <w:jc w:val="both"/>
      </w:pPr>
      <w:r>
        <w:rPr>
          <w:rFonts w:ascii="Arial" w:cs="Arial" w:eastAsia="Arial" w:hAnsi="Arial"/>
          <w:sz w:val="24"/>
          <w:szCs w:val="24"/>
        </w:rPr>
        <w:t xml:space="preserve">- инфляционные ожидания населения.</w:t>
      </w:r>
    </w:p>
    <w:p>
      <w:pPr>
        <w:spacing w:after="120"/>
        <w:ind w:firstLine="567"/>
        <w:jc w:val="both"/>
      </w:pPr>
      <w:r>
        <w:rPr>
          <w:rFonts w:ascii="Arial" w:cs="Arial" w:eastAsia="Arial" w:hAnsi="Arial"/>
          <w:sz w:val="24"/>
          <w:szCs w:val="24"/>
        </w:rPr>
        <w:t xml:space="preserve">По оценке МВФ, уровень инфляции в Кыргызской Республике будет находиться в диапазоне 6-7%.</w:t>
      </w:r>
    </w:p>
    <w:p>
      <w:pPr>
        <w:spacing w:after="120"/>
        <w:ind w:firstLine="567"/>
        <w:jc w:val="both"/>
      </w:pPr>
      <w:r>
        <w:rPr>
          <w:rFonts w:ascii="Arial" w:cs="Arial" w:eastAsia="Arial" w:hAnsi="Arial"/>
          <w:sz w:val="24"/>
          <w:szCs w:val="24"/>
        </w:rPr>
        <w:t xml:space="preserve">В случае сохранения влияния негативных факторов на динамику инфляционных процессов и возникновения дополнительных внешних шоков значения инфляции могут превысить прогнозируемые значения. Национальный банк Кыргызской Республики на регулярной основе оценивает факторы воздействия на ценовую и финансовую стабильность и, в зависимости от ситуации, принимает соответствующие меры денежно-кредитной политики.</w:t>
      </w:r>
    </w:p>
    <w:p>
      <w:pPr>
        <w:spacing w:after="240" w:before="200"/>
        <w:jc w:val="center"/>
      </w:pPr>
      <w:r>
        <w:rPr>
          <w:rFonts w:ascii="Arial" w:cs="Arial" w:eastAsia="Arial" w:hAnsi="Arial"/>
          <w:b/>
          <w:bCs/>
          <w:sz w:val="24"/>
          <w:szCs w:val="24"/>
        </w:rPr>
        <w:t xml:space="preserve">Глава 5. Макроэкономический прогноз на 2026 год</w:t>
      </w:r>
    </w:p>
    <w:p>
      <w:pPr>
        <w:spacing w:after="240" w:before="200"/>
        <w:jc w:val="center"/>
      </w:pPr>
      <w:r>
        <w:rPr>
          <w:rFonts w:ascii="Arial" w:cs="Arial" w:eastAsia="Arial" w:hAnsi="Arial"/>
          <w:b/>
          <w:bCs/>
          <w:sz w:val="24"/>
          <w:szCs w:val="24"/>
        </w:rPr>
        <w:t xml:space="preserve">§ 1. Основные меры экономической политики</w:t>
      </w:r>
    </w:p>
    <w:p>
      <w:pPr>
        <w:spacing w:after="120"/>
        <w:ind w:firstLine="567"/>
        <w:jc w:val="both"/>
      </w:pPr>
      <w:r>
        <w:rPr>
          <w:rFonts w:ascii="Arial" w:cs="Arial" w:eastAsia="Arial" w:hAnsi="Arial"/>
          <w:b/>
          <w:bCs/>
          <w:sz w:val="24"/>
          <w:szCs w:val="24"/>
        </w:rPr>
        <w:t xml:space="preserve">1. Макроэкономическая политика</w:t>
      </w:r>
    </w:p>
    <w:p>
      <w:pPr>
        <w:spacing w:after="120"/>
        <w:ind w:firstLine="567"/>
        <w:jc w:val="both"/>
      </w:pPr>
      <w:r>
        <w:rPr>
          <w:rFonts w:ascii="Arial" w:cs="Arial" w:eastAsia="Arial" w:hAnsi="Arial"/>
          <w:sz w:val="24"/>
          <w:szCs w:val="24"/>
        </w:rPr>
        <w:t xml:space="preserve">Макроэкономическая политика будет ориентирована на обеспечение устойчивого и инклюзивного экономического роста, повышение качества жизни и благосостояния граждан, а также на формирование устойчивой базы для долгосрочного развития в условиях глобальных вызовов.</w:t>
      </w:r>
    </w:p>
    <w:p>
      <w:pPr>
        <w:spacing w:after="120"/>
        <w:ind w:firstLine="567"/>
        <w:jc w:val="both"/>
      </w:pPr>
      <w:r>
        <w:rPr>
          <w:rFonts w:ascii="Arial" w:cs="Arial" w:eastAsia="Arial" w:hAnsi="Arial"/>
          <w:sz w:val="24"/>
          <w:szCs w:val="24"/>
        </w:rPr>
        <w:t xml:space="preserve">Формирование эффективной макроэкономической политики в условиях растущей глобальной неопределенности и внешних вызовов обусловлено необходимостью адаптации экономики к стремительно меняющейся мировой конъюнктуре. Важным в этих обстоятельствах становится способность государства своевременно и адекватно отвечать на социальные, экологические, экономические и иные вызовы, одновременно сохраняя конкурентоспособность национальной экономики.</w:t>
      </w:r>
    </w:p>
    <w:p>
      <w:pPr>
        <w:spacing w:after="120"/>
        <w:ind w:firstLine="567"/>
        <w:jc w:val="both"/>
      </w:pPr>
      <w:r>
        <w:rPr>
          <w:rFonts w:ascii="Arial" w:cs="Arial" w:eastAsia="Arial" w:hAnsi="Arial"/>
          <w:sz w:val="24"/>
          <w:szCs w:val="24"/>
        </w:rPr>
        <w:t xml:space="preserve">Первостепенной задачей Кабинета Министров Кыргызской Республики остается успешная реализация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wnudccxwedszlmbeg-2_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направленная на укрепление экономики, усиление потенциала и развитие производства, а также улучшение благосостояния населения.</w:t>
      </w:r>
    </w:p>
    <w:p>
      <w:pPr>
        <w:spacing w:after="120"/>
        <w:ind w:firstLine="567"/>
        <w:jc w:val="both"/>
      </w:pPr>
      <w:r>
        <w:rPr>
          <w:rFonts w:ascii="Arial" w:cs="Arial" w:eastAsia="Arial" w:hAnsi="Arial"/>
          <w:sz w:val="24"/>
          <w:szCs w:val="24"/>
        </w:rPr>
        <w:t xml:space="preserve">Своевременная реализация мер по обеспечению макроэкономической стабильности, определенных в программных документах, позволит закрепить сложившиеся устойчивые темпы экономического роста, обеспечить экономическую безопасность Кыргызской Республики на основе последовательного перехода на инновационный путь развития, повышения эффективности производства и конкурентоспособности продукции.</w:t>
      </w:r>
    </w:p>
    <w:p>
      <w:pPr>
        <w:spacing w:after="120"/>
        <w:ind w:firstLine="567"/>
        <w:jc w:val="both"/>
      </w:pPr>
      <w:r>
        <w:rPr>
          <w:rFonts w:ascii="Arial" w:cs="Arial" w:eastAsia="Arial" w:hAnsi="Arial"/>
          <w:sz w:val="24"/>
          <w:szCs w:val="24"/>
        </w:rPr>
        <w:t xml:space="preserve">Основными направлениями согласованной макроэкономической политики являются поддержка роста экономики, обеспечение активного функционирования участников экономической деятельности, стабильного уровня цен, высокого уровня занятости, своевременное принятие мер политики по предотвращению влияния негативных факторов на экономику.</w:t>
      </w:r>
    </w:p>
    <w:p>
      <w:pPr>
        <w:spacing w:after="120"/>
        <w:ind w:firstLine="567"/>
        <w:jc w:val="both"/>
      </w:pPr>
      <w:r>
        <w:rPr>
          <w:rFonts w:ascii="Arial" w:cs="Arial" w:eastAsia="Arial" w:hAnsi="Arial"/>
          <w:sz w:val="24"/>
          <w:szCs w:val="24"/>
        </w:rPr>
        <w:t xml:space="preserve">Основными инструментами макроэкономического регулирования будут согласованная денежно-кредитная и бюджетно-налоговая политика.</w:t>
      </w:r>
    </w:p>
    <w:p>
      <w:pPr>
        <w:spacing w:after="120"/>
        <w:ind w:firstLine="567"/>
        <w:jc w:val="both"/>
      </w:pPr>
      <w:r>
        <w:rPr>
          <w:rFonts w:ascii="Arial" w:cs="Arial" w:eastAsia="Arial" w:hAnsi="Arial"/>
          <w:sz w:val="24"/>
          <w:szCs w:val="24"/>
        </w:rPr>
        <w:t xml:space="preserve">Макроэкономическая политика будет направлена на достижение консенсуса между различными участниками экономической деятельности, посредством создания благоприятной среды, направленной на увеличение реальных доходов населения, рост благосостояния, улучшение качества жизни.</w:t>
      </w:r>
    </w:p>
    <w:p>
      <w:pPr>
        <w:spacing w:after="120"/>
        <w:ind w:firstLine="567"/>
        <w:jc w:val="both"/>
      </w:pPr>
      <w:r>
        <w:rPr>
          <w:rFonts w:ascii="Arial" w:cs="Arial" w:eastAsia="Arial" w:hAnsi="Arial"/>
          <w:sz w:val="24"/>
          <w:szCs w:val="24"/>
        </w:rPr>
        <w:t xml:space="preserve">Для проведения эффективной макроэкономической политики будет осуществляться мониторинг и контроль для своевременного выявления отклонений от траектории достижения национальных целей развития, анализа их причин и формирование мер по их предотвращению/смягчению последствий.</w:t>
      </w:r>
    </w:p>
    <w:p>
      <w:pPr>
        <w:spacing w:after="120"/>
        <w:ind w:firstLine="567"/>
        <w:jc w:val="both"/>
      </w:pPr>
      <w:r>
        <w:rPr>
          <w:rFonts w:ascii="Arial" w:cs="Arial" w:eastAsia="Arial" w:hAnsi="Arial"/>
          <w:b/>
          <w:bCs/>
          <w:sz w:val="24"/>
          <w:szCs w:val="24"/>
        </w:rPr>
        <w:t xml:space="preserve">2. Денежно-кредитная политика</w:t>
      </w:r>
    </w:p>
    <w:p>
      <w:pPr>
        <w:spacing w:after="120"/>
        <w:ind w:firstLine="567"/>
        <w:jc w:val="both"/>
      </w:pPr>
      <w:r>
        <w:rPr>
          <w:rFonts w:ascii="Arial" w:cs="Arial" w:eastAsia="Arial" w:hAnsi="Arial"/>
          <w:sz w:val="24"/>
          <w:szCs w:val="24"/>
        </w:rPr>
        <w:t xml:space="preserve">Ценовая стабильность создает важные условия для развития экономики и является ключевым элементом макроэкономической устойчивости в стране, что способствует созданию в стране благоприятной бизнес-среды, поддержанию инвестиционного климата, повышению уровня жизни населения, снижая неопределенность экономических субъектов при принятии решений.</w:t>
      </w:r>
    </w:p>
    <w:p>
      <w:pPr>
        <w:spacing w:after="120"/>
        <w:ind w:firstLine="567"/>
        <w:jc w:val="both"/>
      </w:pPr>
      <w:r>
        <w:rPr>
          <w:rFonts w:ascii="Arial" w:cs="Arial" w:eastAsia="Arial" w:hAnsi="Arial"/>
          <w:sz w:val="24"/>
          <w:szCs w:val="24"/>
        </w:rPr>
        <w:t xml:space="preserve">Для достижения и поддержания стабильности цен в стране будет проводиться соответствующая денежно-кредитная политика, целевым ориентиром которой является удержание уровня инфляции в пределах 5-7% в среднесрочном периоде.</w:t>
      </w:r>
    </w:p>
    <w:p>
      <w:pPr>
        <w:spacing w:after="120"/>
        <w:ind w:firstLine="567"/>
        <w:jc w:val="both"/>
      </w:pPr>
      <w:r>
        <w:rPr>
          <w:rFonts w:ascii="Arial" w:cs="Arial" w:eastAsia="Arial" w:hAnsi="Arial"/>
          <w:sz w:val="24"/>
          <w:szCs w:val="24"/>
        </w:rPr>
        <w:t xml:space="preserve">В соответствии с принятым в стране режимом плавающего обменного курса, в рамках которого баланс спроса и предложения иностранной валюты формируется рыночными условиями внутреннего валютного рынка, будет сохранена гибкость обменного курса.</w:t>
      </w:r>
    </w:p>
    <w:p>
      <w:pPr>
        <w:spacing w:after="120"/>
        <w:ind w:firstLine="567"/>
        <w:jc w:val="both"/>
      </w:pPr>
      <w:r>
        <w:rPr>
          <w:rFonts w:ascii="Arial" w:cs="Arial" w:eastAsia="Arial" w:hAnsi="Arial"/>
          <w:sz w:val="24"/>
          <w:szCs w:val="24"/>
        </w:rPr>
        <w:t xml:space="preserve">Реализация монетарной политики будет осуществляться с учетом задачи по поддержанию покупательской способности национальной валюты для содействия долгосрочному экономическому росту республики.</w:t>
      </w:r>
    </w:p>
    <w:p>
      <w:pPr>
        <w:spacing w:after="120"/>
        <w:ind w:firstLine="567"/>
        <w:jc w:val="both"/>
      </w:pPr>
      <w:r>
        <w:rPr>
          <w:rFonts w:ascii="Arial" w:cs="Arial" w:eastAsia="Arial" w:hAnsi="Arial"/>
          <w:sz w:val="24"/>
          <w:szCs w:val="24"/>
        </w:rPr>
        <w:t xml:space="preserve">В целях обеспечения равновесного уровня денежного предложения в экономике посредством монетарных инструментов будут реализованы активные меры по регулированию имеющейся избыточной ликвидности в банковской системе.</w:t>
      </w:r>
    </w:p>
    <w:p>
      <w:pPr>
        <w:spacing w:after="120"/>
        <w:ind w:firstLine="567"/>
        <w:jc w:val="both"/>
      </w:pPr>
      <w:r>
        <w:rPr>
          <w:rFonts w:ascii="Arial" w:cs="Arial" w:eastAsia="Arial" w:hAnsi="Arial"/>
          <w:sz w:val="24"/>
          <w:szCs w:val="24"/>
        </w:rPr>
        <w:t xml:space="preserve">Особое внимание будет уделяться анализу краткосрочных и долгосрочных факторов формирования уровня инфляции. В случае значительного и продолжительного отклонения фактической инфляции от прогнозной траектории Национальный банк будет принимать соответствующие решения по монетарной политике.</w:t>
      </w:r>
    </w:p>
    <w:p>
      <w:pPr>
        <w:spacing w:after="120"/>
        <w:ind w:firstLine="567"/>
        <w:jc w:val="both"/>
      </w:pPr>
      <w:r>
        <w:rPr>
          <w:rFonts w:ascii="Arial" w:cs="Arial" w:eastAsia="Arial" w:hAnsi="Arial"/>
          <w:sz w:val="24"/>
          <w:szCs w:val="24"/>
        </w:rPr>
        <w:t xml:space="preserve">Эффективная координация бюджетно-налоговой и денежно-кредитной политики страны станет залогом успешной реализации цели по обеспечению ценовой и, соответственно, макроэкономической стабильности.</w:t>
      </w:r>
    </w:p>
    <w:p>
      <w:pPr>
        <w:spacing w:after="120"/>
        <w:ind w:firstLine="567"/>
        <w:jc w:val="both"/>
      </w:pPr>
      <w:r>
        <w:rPr>
          <w:rFonts w:ascii="Arial" w:cs="Arial" w:eastAsia="Arial" w:hAnsi="Arial"/>
          <w:b/>
          <w:bCs/>
          <w:sz w:val="24"/>
          <w:szCs w:val="24"/>
        </w:rPr>
        <w:t xml:space="preserve">3. Бюджетно-налоговая политика</w:t>
      </w:r>
    </w:p>
    <w:p>
      <w:pPr>
        <w:spacing w:after="120"/>
        <w:ind w:firstLine="567"/>
        <w:jc w:val="both"/>
      </w:pPr>
      <w:r>
        <w:rPr>
          <w:rFonts w:ascii="Arial" w:cs="Arial" w:eastAsia="Arial" w:hAnsi="Arial"/>
          <w:sz w:val="24"/>
          <w:szCs w:val="24"/>
        </w:rPr>
        <w:t xml:space="preserve">Бюджетно-налоговая политика в среднесрочном периоде будет направлена на стимулирование экономического роста за счет укрепления доходной базы бюджета, расширения инвестиционной активности, а также создания благоприятных условий для развития предпринимательства и привлечения инвестиций.</w:t>
      </w:r>
    </w:p>
    <w:p>
      <w:pPr>
        <w:spacing w:after="120"/>
        <w:ind w:firstLine="567"/>
        <w:jc w:val="both"/>
      </w:pPr>
      <w:r>
        <w:rPr>
          <w:rFonts w:ascii="Arial" w:cs="Arial" w:eastAsia="Arial" w:hAnsi="Arial"/>
          <w:sz w:val="24"/>
          <w:szCs w:val="24"/>
        </w:rPr>
        <w:t xml:space="preserve">Основными направлениями бюджетной политики являются:</w:t>
      </w:r>
    </w:p>
    <w:p>
      <w:pPr>
        <w:spacing w:after="120"/>
        <w:ind w:firstLine="567"/>
        <w:jc w:val="both"/>
      </w:pPr>
      <w:r>
        <w:rPr>
          <w:rFonts w:ascii="Arial" w:cs="Arial" w:eastAsia="Arial" w:hAnsi="Arial"/>
          <w:sz w:val="24"/>
          <w:szCs w:val="24"/>
        </w:rPr>
        <w:t xml:space="preserve">- работа по усилению прозрачности и подотчетности бюджета, позволяющая отслеживать использование бюджетных средств, при этом обеспечивая оптимальное использование государственных финансов для эффективного решения системных проблем и усиления адресности;</w:t>
      </w:r>
    </w:p>
    <w:p>
      <w:pPr>
        <w:spacing w:after="120"/>
        <w:ind w:firstLine="567"/>
        <w:jc w:val="both"/>
      </w:pPr>
      <w:r>
        <w:rPr>
          <w:rFonts w:ascii="Arial" w:cs="Arial" w:eastAsia="Arial" w:hAnsi="Arial"/>
          <w:sz w:val="24"/>
          <w:szCs w:val="24"/>
        </w:rPr>
        <w:t xml:space="preserve">- совершенствование системы межбюджетных отношений;</w:t>
      </w:r>
    </w:p>
    <w:p>
      <w:pPr>
        <w:spacing w:after="120"/>
        <w:ind w:firstLine="567"/>
        <w:jc w:val="both"/>
      </w:pPr>
      <w:r>
        <w:rPr>
          <w:rFonts w:ascii="Arial" w:cs="Arial" w:eastAsia="Arial" w:hAnsi="Arial"/>
          <w:sz w:val="24"/>
          <w:szCs w:val="24"/>
        </w:rPr>
        <w:t xml:space="preserve">- совершенствование управления государственными инвестициями, чтобы в полной мере реализовать потенциальный положительный эффект финансируемых из внешних источников проектов государственных инвестиций.</w:t>
      </w:r>
    </w:p>
    <w:p>
      <w:pPr>
        <w:spacing w:after="120"/>
        <w:ind w:firstLine="567"/>
        <w:jc w:val="both"/>
      </w:pPr>
      <w:r>
        <w:rPr>
          <w:rFonts w:ascii="Arial" w:cs="Arial" w:eastAsia="Arial" w:hAnsi="Arial"/>
          <w:sz w:val="24"/>
          <w:szCs w:val="24"/>
        </w:rPr>
        <w:t xml:space="preserve">Сохранится социальная направленность государственных расходов с выполнением всех социальных обязательств государства перед населением.</w:t>
      </w:r>
    </w:p>
    <w:p>
      <w:pPr>
        <w:spacing w:after="120"/>
        <w:ind w:firstLine="567"/>
        <w:jc w:val="both"/>
      </w:pPr>
      <w:r>
        <w:rPr>
          <w:rFonts w:ascii="Arial" w:cs="Arial" w:eastAsia="Arial" w:hAnsi="Arial"/>
          <w:sz w:val="24"/>
          <w:szCs w:val="24"/>
        </w:rPr>
        <w:t xml:space="preserve">В рамках выполнения социальных обязательств будет продолжено финансирование ключевых сфер, таких как здравоохранение, образование, социальная защита и пенсионные выплаты, чтобы обеспечить благополучие граждан и социальную стабильность.</w:t>
      </w:r>
    </w:p>
    <w:p>
      <w:pPr>
        <w:spacing w:after="120"/>
        <w:ind w:firstLine="567"/>
        <w:jc w:val="both"/>
      </w:pPr>
      <w:r>
        <w:rPr>
          <w:rFonts w:ascii="Arial" w:cs="Arial" w:eastAsia="Arial" w:hAnsi="Arial"/>
          <w:sz w:val="24"/>
          <w:szCs w:val="24"/>
        </w:rPr>
        <w:t xml:space="preserve">В целях сохранения устойчивости государственного долга Кыргызской Республики будет осуществляться регулярный контроль размера, структуры и рисков по государственному долгу и обеспечение дальнейшего совершенствования всех бюджетных индикаторов устойчивости и индикаторов устойчивости государственного долга в соответствии с установленными международными нормами. Важно отметить, что основная часть выплат по государственному долгу приходится на ближайшие годы. В связи с этим значительные расходы будут направлены на выплату основного долга, что будет одним из приоритетов в бюджетной политике.</w:t>
      </w:r>
    </w:p>
    <w:p>
      <w:pPr>
        <w:spacing w:after="120"/>
        <w:ind w:firstLine="567"/>
        <w:jc w:val="both"/>
      </w:pPr>
      <w:r>
        <w:rPr>
          <w:rFonts w:ascii="Arial" w:cs="Arial" w:eastAsia="Arial" w:hAnsi="Arial"/>
          <w:sz w:val="24"/>
          <w:szCs w:val="24"/>
        </w:rPr>
        <w:t xml:space="preserve">Приоритетное внимание будет уделяться совершенствованию практики управления государственным долгом в рамках реализации </w:t>
      </w:r>
      <w:hyperlink w:history="1" r:id="rIdmxrhrziin2sghozeuu7m5">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управления государственным долгом Кыргызской Республики на 2025-2027 годы (далее - Стратегия),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hyperlink w:history="1" r:id="rIdghboyjxornikvl5t-ugyg">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управления государственным долгом Кыргызской Республики на 2025-2027 годы" от 25 января 2025 года № 38, направленной на снижение фискальных рисков и поддержание пороговых значений приемлемого уровня задолженности.</w:t>
      </w:r>
    </w:p>
    <w:p>
      <w:pPr>
        <w:spacing w:after="120"/>
        <w:ind w:firstLine="567"/>
        <w:jc w:val="both"/>
      </w:pPr>
      <w:r>
        <w:rPr>
          <w:rFonts w:ascii="Arial" w:cs="Arial" w:eastAsia="Arial" w:hAnsi="Arial"/>
          <w:sz w:val="24"/>
          <w:szCs w:val="24"/>
        </w:rPr>
        <w:t xml:space="preserve">Одной из главных задач Стратегии является развитие рынка государственных ценных бумаг и расширение масштаба размещения государственных ценных бумаг, что позволит не только диверсифицировать источники финансирования, но и поддержать национальный финансовый сектор, повысить его ликвидность и обеспечить более широкое участие внутренних инвесторов.</w:t>
      </w:r>
    </w:p>
    <w:p>
      <w:pPr>
        <w:spacing w:after="120"/>
        <w:ind w:firstLine="567"/>
        <w:jc w:val="both"/>
      </w:pPr>
      <w:r>
        <w:rPr>
          <w:rFonts w:ascii="Arial" w:cs="Arial" w:eastAsia="Arial" w:hAnsi="Arial"/>
          <w:sz w:val="24"/>
          <w:szCs w:val="24"/>
        </w:rPr>
        <w:t xml:space="preserve">Кроме того, в случае необходимости Кабинет Министров Кыргызской Республики будет рассматривать привлечение средств на внутреннем рынке в иностранной валюте для финансирования инвестиционных проектов (выпуск еврооблигаций), обеспечивая при этом оптимальный баланс между затратами и рисками. Такой подход обеспечит гибкость в привлечении ресурсов для реализации приоритетных задач и проектов, способствующих социально-экономическому развитию страны.</w:t>
      </w:r>
    </w:p>
    <w:p>
      <w:pPr>
        <w:spacing w:after="120"/>
        <w:ind w:firstLine="567"/>
        <w:jc w:val="both"/>
      </w:pPr>
      <w:r>
        <w:rPr>
          <w:rFonts w:ascii="Arial" w:cs="Arial" w:eastAsia="Arial" w:hAnsi="Arial"/>
          <w:sz w:val="24"/>
          <w:szCs w:val="24"/>
        </w:rPr>
        <w:t xml:space="preserve">Налоговая политика Кыргызской Республики будет реализовываться в рамках Основных направлений фискальной политики Кыргызской Республики на 2025-2029 годы и в среднесрочном периоде будет направлена на создание справедливой и устойчивой системы налогообложения, обеспечение баланса между интересами бизнеса и государства, упрощение налогового администрирования и повышение прозрачности налоговых процедур. Это создаст благоприятные условия для предпринимательской деятельности, обеспечит справедливое налогообложение и повысит эффективность налогового администрирования.</w:t>
      </w:r>
    </w:p>
    <w:p>
      <w:pPr>
        <w:spacing w:after="120"/>
        <w:ind w:firstLine="567"/>
        <w:jc w:val="both"/>
      </w:pPr>
      <w:r>
        <w:rPr>
          <w:rFonts w:ascii="Arial" w:cs="Arial" w:eastAsia="Arial" w:hAnsi="Arial"/>
          <w:sz w:val="24"/>
          <w:szCs w:val="24"/>
        </w:rPr>
        <w:t xml:space="preserve">Для реализации указанных направлений в налоговое законодательство внесены изменения, направленные на снижение административной нагрузки на налогоплательщиков. В частности, отменена единая налоговая декларация для отдельных физических лиц, что упрощает выполнение налоговых обязательств. Будет проводиться работа по улучшению налогового администрирования и поддержке местных органов власти, что позволит более эффективно управлять налоговыми поступлениями на местах.</w:t>
      </w:r>
    </w:p>
    <w:p>
      <w:pPr>
        <w:spacing w:after="120"/>
        <w:ind w:firstLine="567"/>
        <w:jc w:val="both"/>
      </w:pPr>
      <w:r>
        <w:rPr>
          <w:rFonts w:ascii="Arial" w:cs="Arial" w:eastAsia="Arial" w:hAnsi="Arial"/>
          <w:sz w:val="24"/>
          <w:szCs w:val="24"/>
        </w:rPr>
        <w:t xml:space="preserve">Одним из ключевых направлений налоговой политики станет внедрение современных налоговых инструментов и технологий. Продолжится работа по модернизации и улучшению налоговых процедур с учетом возможностей и реалий налоговой системы. Будут активно использоваться упрощенные счет-фактуры на бумажном носителе с поэтапным переходом с 1 октября 2025 года на электронно-бумажные счета-фактуры. Будет проводиться работа по полному переводу субъектов предпринимательства на использование ККМ-онлайн, безналичную форму оплаты с использованием QR-кодов, всех видов разъяснений в электронный формат. Важную роль будет играть дистанционный налоговый контроль, а также риск-ориентированный подход в проведении проверок, что позволит повысить прозрачность и эффективность администрирования.</w:t>
      </w:r>
    </w:p>
    <w:p>
      <w:pPr>
        <w:spacing w:after="120"/>
        <w:ind w:firstLine="567"/>
        <w:jc w:val="both"/>
      </w:pPr>
      <w:r>
        <w:rPr>
          <w:rFonts w:ascii="Arial" w:cs="Arial" w:eastAsia="Arial" w:hAnsi="Arial"/>
          <w:sz w:val="24"/>
          <w:szCs w:val="24"/>
        </w:rPr>
        <w:t xml:space="preserve">В среднесрочном периоде налоговая политика будет включать совершенствование налогового законодательства с целью облегчения выполнения налогоплательщиками своих обязательств и сокращения их затрат. Особое внимание будет уделено повышению эффективности работы налоговых органов, внедрению цифровых технологий и автоматизированных систем контроля.</w:t>
      </w:r>
    </w:p>
    <w:p>
      <w:pPr>
        <w:spacing w:after="120"/>
        <w:ind w:firstLine="567"/>
        <w:jc w:val="both"/>
      </w:pPr>
      <w:r>
        <w:rPr>
          <w:rFonts w:ascii="Arial" w:cs="Arial" w:eastAsia="Arial" w:hAnsi="Arial"/>
          <w:sz w:val="24"/>
          <w:szCs w:val="24"/>
        </w:rPr>
        <w:t xml:space="preserve">Основными направлениями налоговой политики на 2025-2030 годы будут:</w:t>
      </w:r>
    </w:p>
    <w:p>
      <w:pPr>
        <w:spacing w:after="120"/>
        <w:ind w:firstLine="567"/>
        <w:jc w:val="both"/>
      </w:pPr>
      <w:r>
        <w:rPr>
          <w:rFonts w:ascii="Arial" w:cs="Arial" w:eastAsia="Arial" w:hAnsi="Arial"/>
          <w:sz w:val="24"/>
          <w:szCs w:val="24"/>
        </w:rPr>
        <w:t xml:space="preserve">- создание необходимых условий для соблюдения налогоплательщиками налогового законодательства, включая расширение и упрощение электронных сервисов;</w:t>
      </w:r>
    </w:p>
    <w:p>
      <w:pPr>
        <w:spacing w:after="120"/>
        <w:ind w:firstLine="567"/>
        <w:jc w:val="both"/>
      </w:pPr>
      <w:r>
        <w:rPr>
          <w:rFonts w:ascii="Arial" w:cs="Arial" w:eastAsia="Arial" w:hAnsi="Arial"/>
          <w:sz w:val="24"/>
          <w:szCs w:val="24"/>
        </w:rPr>
        <w:t xml:space="preserve">- внедрение персонализированного налогового профиля, позволяющего сократить временные затраты на выполнение налоговых обязательств;</w:t>
      </w:r>
    </w:p>
    <w:p>
      <w:pPr>
        <w:spacing w:after="120"/>
        <w:ind w:firstLine="567"/>
        <w:jc w:val="both"/>
      </w:pPr>
      <w:r>
        <w:rPr>
          <w:rFonts w:ascii="Arial" w:cs="Arial" w:eastAsia="Arial" w:hAnsi="Arial"/>
          <w:sz w:val="24"/>
          <w:szCs w:val="24"/>
        </w:rPr>
        <w:t xml:space="preserve">- развитие дистанционного налогового контроля и риск-ориентированного подхода в проверках, что обеспечит более прозрачное и эффективное взаимодействие между налогоплательщиками и налоговыми органами;</w:t>
      </w:r>
    </w:p>
    <w:p>
      <w:pPr>
        <w:spacing w:after="120"/>
        <w:ind w:firstLine="567"/>
        <w:jc w:val="both"/>
      </w:pPr>
      <w:r>
        <w:rPr>
          <w:rFonts w:ascii="Arial" w:cs="Arial" w:eastAsia="Arial" w:hAnsi="Arial"/>
          <w:sz w:val="24"/>
          <w:szCs w:val="24"/>
        </w:rPr>
        <w:t xml:space="preserve">- расширение аналитических возможностей налоговой службы путем внедрения цифровых технологий и автоматизированных методов обработки данных;</w:t>
      </w:r>
    </w:p>
    <w:p>
      <w:pPr>
        <w:spacing w:after="120"/>
        <w:ind w:firstLine="567"/>
        <w:jc w:val="both"/>
      </w:pPr>
      <w:r>
        <w:rPr>
          <w:rFonts w:ascii="Arial" w:cs="Arial" w:eastAsia="Arial" w:hAnsi="Arial"/>
          <w:sz w:val="24"/>
          <w:szCs w:val="24"/>
        </w:rPr>
        <w:t xml:space="preserve">- оптимизация информационных систем, таких как электронные счет-фактуры и маркировка товаров.</w:t>
      </w:r>
    </w:p>
    <w:p>
      <w:pPr>
        <w:spacing w:after="120"/>
        <w:ind w:firstLine="567"/>
        <w:jc w:val="both"/>
      </w:pPr>
      <w:r>
        <w:rPr>
          <w:rFonts w:ascii="Arial" w:cs="Arial" w:eastAsia="Arial" w:hAnsi="Arial"/>
          <w:sz w:val="24"/>
          <w:szCs w:val="24"/>
        </w:rPr>
        <w:t xml:space="preserve">Таможенная политика Кыргызской Республики в среднесрочный период будет направлена на обеспечение благоприятных условий для внешнеэкономической деятельности и дальнейшее совершенствование таможенного регулирования путем расширения применения цифровых технологий.</w:t>
      </w:r>
    </w:p>
    <w:p>
      <w:pPr>
        <w:spacing w:after="120"/>
        <w:ind w:firstLine="567"/>
        <w:jc w:val="both"/>
      </w:pPr>
      <w:r>
        <w:rPr>
          <w:rFonts w:ascii="Arial" w:cs="Arial" w:eastAsia="Arial" w:hAnsi="Arial"/>
          <w:sz w:val="24"/>
          <w:szCs w:val="24"/>
        </w:rPr>
        <w:t xml:space="preserve">Основной задачей останется создание единого, эффективного и технологически современного таможенного пространства, которое обеспечит безопасность, прозрачность и оперативность при проведении таможенных процедур путем совершенствования и унификации типовых требований к техническому оснащению элементов таможенной инфраструктуры в местах перемещения товаров через таможенную границу, включая системы радиационного контроля, осмотра (досмотра) лиц, багажа и ручной клади, поиска и идентификации наркотических и взрывчатых веществ, телевизионного наблюдения.</w:t>
      </w:r>
    </w:p>
    <w:p>
      <w:pPr>
        <w:spacing w:after="120"/>
        <w:ind w:firstLine="567"/>
        <w:jc w:val="both"/>
      </w:pPr>
      <w:r>
        <w:rPr>
          <w:rFonts w:ascii="Arial" w:cs="Arial" w:eastAsia="Arial" w:hAnsi="Arial"/>
          <w:sz w:val="24"/>
          <w:szCs w:val="24"/>
        </w:rPr>
        <w:t xml:space="preserve">Особое внимание будет уделено организации эффективного информационного взаимодействия и обмена данными между таможенными органами в соответствии с Договором и Таможенным кодексом Евразийского экономического союза и международными договорами, заключенными ЕАЭС и его государствами-членами с третьими странами и интеграционными объединениями. Это позволит обеспечить надлежащий уровень таможенного контроля, ускорить проведение процедур, способствовать предупреждению правонарушений в таможенной сфере и одновременно - содействовать упрощению внешней торговли.</w:t>
      </w:r>
    </w:p>
    <w:p>
      <w:pPr>
        <w:spacing w:after="120"/>
        <w:ind w:firstLine="567"/>
        <w:jc w:val="both"/>
      </w:pPr>
      <w:r>
        <w:rPr>
          <w:rFonts w:ascii="Arial" w:cs="Arial" w:eastAsia="Arial" w:hAnsi="Arial"/>
          <w:sz w:val="24"/>
          <w:szCs w:val="24"/>
        </w:rPr>
        <w:t xml:space="preserve">Основными направлениями таможенной политики на 2025-2030 годы будут:</w:t>
      </w:r>
    </w:p>
    <w:p>
      <w:pPr>
        <w:spacing w:after="120"/>
        <w:ind w:firstLine="567"/>
        <w:jc w:val="both"/>
      </w:pPr>
      <w:r>
        <w:rPr>
          <w:rFonts w:ascii="Arial" w:cs="Arial" w:eastAsia="Arial" w:hAnsi="Arial"/>
          <w:sz w:val="24"/>
          <w:szCs w:val="24"/>
        </w:rPr>
        <w:t xml:space="preserve">- ускорение и упрощение таможенных процедур - внедрение современных систем контроля и электронного документооборота для минимизации задержек;</w:t>
      </w:r>
    </w:p>
    <w:p>
      <w:pPr>
        <w:spacing w:after="120"/>
        <w:ind w:firstLine="567"/>
        <w:jc w:val="both"/>
      </w:pPr>
      <w:r>
        <w:rPr>
          <w:rFonts w:ascii="Arial" w:cs="Arial" w:eastAsia="Arial" w:hAnsi="Arial"/>
          <w:sz w:val="24"/>
          <w:szCs w:val="24"/>
        </w:rPr>
        <w:t xml:space="preserve">- создание современного, высокотехнологичного и эффективного пограничного пункта пропуска, обеспечивающего безопасное и быстрое перемещение товаров, транспортных средств и людей для роста экспорта и импорта, развитие внешнеэкономической деятельности;</w:t>
      </w:r>
    </w:p>
    <w:p>
      <w:pPr>
        <w:spacing w:after="120"/>
        <w:ind w:firstLine="567"/>
        <w:jc w:val="both"/>
      </w:pPr>
      <w:r>
        <w:rPr>
          <w:rFonts w:ascii="Arial" w:cs="Arial" w:eastAsia="Arial" w:hAnsi="Arial"/>
          <w:sz w:val="24"/>
          <w:szCs w:val="24"/>
        </w:rPr>
        <w:t xml:space="preserve">- интеграция в международные транспортные коридоры, в систему международных маршрутов, укрепление транспортно-логистического потенциала страны.</w:t>
      </w:r>
    </w:p>
    <w:p>
      <w:pPr>
        <w:spacing w:after="120"/>
        <w:ind w:firstLine="567"/>
        <w:jc w:val="both"/>
      </w:pPr>
      <w:r>
        <w:rPr>
          <w:rFonts w:ascii="Arial" w:cs="Arial" w:eastAsia="Arial" w:hAnsi="Arial"/>
          <w:b/>
          <w:bCs/>
          <w:sz w:val="24"/>
          <w:szCs w:val="24"/>
        </w:rPr>
        <w:t xml:space="preserve">4. Инвестиционная политика и политика в области развития предпринимательства</w:t>
      </w:r>
    </w:p>
    <w:p>
      <w:pPr>
        <w:spacing w:after="120"/>
        <w:ind w:firstLine="567"/>
        <w:jc w:val="both"/>
      </w:pPr>
      <w:r>
        <w:rPr>
          <w:rFonts w:ascii="Arial" w:cs="Arial" w:eastAsia="Arial" w:hAnsi="Arial"/>
          <w:sz w:val="24"/>
          <w:szCs w:val="24"/>
        </w:rPr>
        <w:t xml:space="preserve">Достижению устойчивых темпов экономического роста будет способствовать обеспечение высокого уровня инвестиций. Привлечение инвестиций в экономику республики является одним из приоритетных направлений экономической политики Кыргызской Республики.</w:t>
      </w:r>
    </w:p>
    <w:p>
      <w:pPr>
        <w:spacing w:after="120"/>
        <w:ind w:firstLine="567"/>
        <w:jc w:val="both"/>
      </w:pPr>
      <w:r>
        <w:rPr>
          <w:rFonts w:ascii="Arial" w:cs="Arial" w:eastAsia="Arial" w:hAnsi="Arial"/>
          <w:sz w:val="24"/>
          <w:szCs w:val="24"/>
        </w:rPr>
        <w:t xml:space="preserve">Основной целью инвестиционной политики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120"/>
        <w:ind w:firstLine="567"/>
        <w:jc w:val="both"/>
      </w:pPr>
      <w:r>
        <w:rPr>
          <w:rFonts w:ascii="Arial" w:cs="Arial" w:eastAsia="Arial" w:hAnsi="Arial"/>
          <w:sz w:val="24"/>
          <w:szCs w:val="24"/>
        </w:rPr>
        <w:t xml:space="preserve">Инвестиции будут привлекаться за счет внутренних инвестиций, прямых иностранных инвестиций, а также средств партнеров по развитию.</w:t>
      </w:r>
    </w:p>
    <w:p>
      <w:pPr>
        <w:spacing w:after="120"/>
        <w:ind w:firstLine="567"/>
        <w:jc w:val="both"/>
      </w:pPr>
      <w:r>
        <w:rPr>
          <w:rFonts w:ascii="Arial" w:cs="Arial" w:eastAsia="Arial" w:hAnsi="Arial"/>
          <w:sz w:val="24"/>
          <w:szCs w:val="24"/>
        </w:rPr>
        <w:t xml:space="preserve">Для повышения инвестиционного потенциала республики, привлечения инвестиций в приоритетные сферы и отрасли экономики, обеспечения взаимосвязанности процесса инвестирования с производством конкурентоспособной экспортно-ориентированной продукции, важнейшие направления совершенствования системы управления в сфере привлечения инвестиций определены </w:t>
      </w:r>
      <w:hyperlink w:history="1" r:id="rIdn75dshc_phslmpnq0iey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совершенствованию системы управления в сфере инвестиций и повышения инвестиционного потенциала Кыргызской Республики" от 10 марта 2022 года № 75.</w:t>
      </w:r>
    </w:p>
    <w:p>
      <w:pPr>
        <w:spacing w:after="120"/>
        <w:ind w:firstLine="567"/>
        <w:jc w:val="both"/>
      </w:pPr>
      <w:r>
        <w:rPr>
          <w:rFonts w:ascii="Arial" w:cs="Arial" w:eastAsia="Arial" w:hAnsi="Arial"/>
          <w:sz w:val="24"/>
          <w:szCs w:val="24"/>
        </w:rPr>
        <w:t xml:space="preserve">Основные направления привлечения инвестиций определены в </w:t>
      </w:r>
      <w:r>
        <w:rPr>
          <w:rFonts w:ascii="Arial" w:cs="Arial" w:eastAsia="Arial" w:hAnsi="Arial"/>
          <w:sz w:val="24"/>
          <w:szCs w:val="24"/>
        </w:rPr>
        <w:t xml:space="preserve">Программе</w:t>
      </w:r>
      <w:r>
        <w:rPr>
          <w:rFonts w:ascii="Arial" w:cs="Arial" w:eastAsia="Arial" w:hAnsi="Arial"/>
          <w:sz w:val="24"/>
          <w:szCs w:val="24"/>
        </w:rPr>
        <w:t xml:space="preserve"> по привлечению инвестиций в Кыргызскую Республику на 2022-2026 годы, утвержденной </w:t>
      </w:r>
      <w:hyperlink w:history="1" r:id="rId-eczbxa3voqelafr9rk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привлечению инвестиций в Кыргызскую Республику на 2022-2026 годы" от 30 июня 2022 года № 352.</w:t>
      </w:r>
    </w:p>
    <w:p>
      <w:pPr>
        <w:spacing w:after="120"/>
        <w:ind w:firstLine="567"/>
        <w:jc w:val="both"/>
      </w:pPr>
      <w:r>
        <w:rPr>
          <w:rFonts w:ascii="Arial" w:cs="Arial" w:eastAsia="Arial" w:hAnsi="Arial"/>
          <w:sz w:val="24"/>
          <w:szCs w:val="24"/>
        </w:rPr>
        <w:t xml:space="preserve">В повышении инвестиционной привлекательности основное внимание будет уделено предоставлению гарантий безопасности для инвестиций, обеспечению правовой защиты и равных условий для всех инвесторов, гарантиям отсутствия дискриминации, прозрачность процессов принятия инвестиционных решений, стабильности режима, простоты регулирования и применения механизмов государственно-частного регулирования.</w:t>
      </w:r>
    </w:p>
    <w:p>
      <w:pPr>
        <w:spacing w:after="120"/>
        <w:ind w:firstLine="567"/>
        <w:jc w:val="both"/>
      </w:pPr>
      <w:r>
        <w:rPr>
          <w:rFonts w:ascii="Arial" w:cs="Arial" w:eastAsia="Arial" w:hAnsi="Arial"/>
          <w:sz w:val="24"/>
          <w:szCs w:val="24"/>
        </w:rPr>
        <w:t xml:space="preserve">Основным механизмом эффективного привлечения инвестиций в рамках </w:t>
      </w:r>
      <w:r>
        <w:rPr>
          <w:rFonts w:ascii="Arial" w:cs="Arial" w:eastAsia="Arial" w:hAnsi="Arial"/>
          <w:sz w:val="24"/>
          <w:szCs w:val="24"/>
        </w:rPr>
        <w:t xml:space="preserve">Программы</w:t>
      </w:r>
      <w:r>
        <w:rPr>
          <w:rFonts w:ascii="Arial" w:cs="Arial" w:eastAsia="Arial" w:hAnsi="Arial"/>
          <w:sz w:val="24"/>
          <w:szCs w:val="24"/>
        </w:rPr>
        <w:t xml:space="preserve"> развития государственно-частного партнерства в Кыргызской Республике на 2022-2026 годы, утвержденной </w:t>
      </w:r>
      <w:hyperlink w:history="1" r:id="rIdxmcm_msbnnfasepvgk0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развития государственно-частного партнерства в Кыргызской Республике на 2022-2026 годы" от 30 июня 2022 года № 352, будет укрепление и развитие государственно-частного партнерства в стране для развития инфраструктуры путем объединения ресурсов и опыта государственного и частного секторов для реализации экономически и социально значимых проектов.</w:t>
      </w:r>
    </w:p>
    <w:p>
      <w:pPr>
        <w:spacing w:after="120"/>
        <w:ind w:firstLine="567"/>
        <w:jc w:val="both"/>
      </w:pPr>
      <w:r>
        <w:rPr>
          <w:rFonts w:ascii="Arial" w:cs="Arial" w:eastAsia="Arial" w:hAnsi="Arial"/>
          <w:sz w:val="24"/>
          <w:szCs w:val="24"/>
        </w:rPr>
        <w:t xml:space="preserve">Продолжится работа по повышению инвестиционной привлекательности и потенциала регионов страны, в том числе с учетом реализации </w:t>
      </w:r>
      <w:hyperlink w:history="1" r:id="rIdmbsmcixwjf89fualngu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Баткенской области", инвесторы получат все необходимые гарантии в рамках деятельности по инвестированию в регионы.</w:t>
      </w:r>
    </w:p>
    <w:p>
      <w:pPr>
        <w:spacing w:after="120"/>
        <w:ind w:firstLine="567"/>
        <w:jc w:val="both"/>
      </w:pPr>
      <w:r>
        <w:rPr>
          <w:rFonts w:ascii="Arial" w:cs="Arial" w:eastAsia="Arial" w:hAnsi="Arial"/>
          <w:sz w:val="24"/>
          <w:szCs w:val="24"/>
        </w:rPr>
        <w:t xml:space="preserve">Будут вестись работы по активизации деятельности инвестиционных фондов - Российско-Кыргызского Фонда развития, Узбекско-Кыргызского Фонда развития, Венгерско-Кыргызского Фонда развития, Азербайджано-Кыргызского Фонда развития, Инвестиционного фонда Организации тюркских государств, которые являются эффективной площадкой для привлечения инвестиций и реализации инвестиционных проектов, и способствуют созданию совместных производств и предприятий.</w:t>
      </w:r>
    </w:p>
    <w:p>
      <w:pPr>
        <w:spacing w:after="120"/>
        <w:ind w:firstLine="567"/>
        <w:jc w:val="both"/>
      </w:pPr>
      <w:r>
        <w:rPr>
          <w:rFonts w:ascii="Arial" w:cs="Arial" w:eastAsia="Arial" w:hAnsi="Arial"/>
          <w:sz w:val="24"/>
          <w:szCs w:val="24"/>
        </w:rPr>
        <w:t xml:space="preserve">Деятельность указанных фондов, в условиях повышенного спроса на "длинные" финансовые ресурсы, будет представлять собой хорошую ресурсную базу для финансирования приоритетных бизнес-проектов в стране. Кроме того, функционирование указанных фондов позволит укрепить торгово-экономические отношения, создать условия для наращивания потенциала экономического сотрудничества между странами-партнерами, а также окажет мультипликативный эффект для стимулирования притока частных инвестиций в Кыргызскую Республику из указанных стран-партнеров.</w:t>
      </w:r>
    </w:p>
    <w:p>
      <w:pPr>
        <w:spacing w:after="120"/>
        <w:ind w:firstLine="567"/>
        <w:jc w:val="both"/>
      </w:pPr>
      <w:r>
        <w:rPr>
          <w:rFonts w:ascii="Arial" w:cs="Arial" w:eastAsia="Arial" w:hAnsi="Arial"/>
          <w:sz w:val="24"/>
          <w:szCs w:val="24"/>
        </w:rPr>
        <w:t xml:space="preserve">Продолжится активная работа по сопровождению и обеспечению безопасности инвесторов согласно </w:t>
      </w:r>
      <w:hyperlink w:history="1" r:id="rIduxssrfhw118o3etoizy_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порядке рассмотрения жалоб инвесторов и их сопровождения" от 28 января 2022 года № 32.</w:t>
      </w:r>
    </w:p>
    <w:p>
      <w:pPr>
        <w:spacing w:after="120"/>
        <w:ind w:firstLine="567"/>
        <w:jc w:val="both"/>
      </w:pPr>
      <w:r>
        <w:rPr>
          <w:rFonts w:ascii="Arial" w:cs="Arial" w:eastAsia="Arial" w:hAnsi="Arial"/>
          <w:sz w:val="24"/>
          <w:szCs w:val="24"/>
        </w:rPr>
        <w:t xml:space="preserve">В целях улучшения инвестиционного климата в Кыргызской Республике, обеспечения гарантий защиты прав и законных интересов инвесторов, включая иностранных инвесторов будет продолжена работа в рамках реализации </w:t>
      </w:r>
      <w:hyperlink w:history="1" r:id="rIddd6rbtczitmope8uugbh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w:t>
      </w:r>
      <w:hyperlink w:history="1" r:id="rIdydrqqt10-vavw49eosmc8">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созданию на территории Иссык-Кульской области специальной инвестиционной территории с особым правовым режимом и независимого международного центра по урегулированию споров с применением английского права" от 17 марта 2025 года № 92.</w:t>
      </w:r>
    </w:p>
    <w:p>
      <w:pPr>
        <w:spacing w:after="120"/>
        <w:ind w:firstLine="567"/>
        <w:jc w:val="both"/>
      </w:pPr>
      <w:r>
        <w:rPr>
          <w:rFonts w:ascii="Arial" w:cs="Arial" w:eastAsia="Arial" w:hAnsi="Arial"/>
          <w:sz w:val="24"/>
          <w:szCs w:val="24"/>
        </w:rPr>
        <w:t xml:space="preserve">В части развития предпринимательства политика будет проводиться в рамках реализации указов Президента Кыргызской Республики "О защите собственности и поддержке предпринимателей и инвесторов" </w:t>
      </w:r>
      <w:r>
        <w:rPr>
          <w:rFonts w:ascii="Arial" w:cs="Arial" w:eastAsia="Arial" w:hAnsi="Arial"/>
          <w:sz w:val="24"/>
          <w:szCs w:val="24"/>
        </w:rPr>
        <w:t xml:space="preserve">от </w:t>
      </w:r>
      <w:hyperlink w:history="1" r:id="rIdiumkldu7udszyb4ag1ocu">
        <w:r>
          <w:rPr>
            <w:rFonts w:ascii="Arial" w:cs="Arial" w:eastAsia="Arial" w:hAnsi="Arial"/>
            <w:color w:val="1D4ED8"/>
            <w:sz w:val="24"/>
            <w:szCs w:val="24"/>
            <w:u w:val="single"/>
          </w:rPr>
          <w:t xml:space="preserve">29 января 2021 года № 3</w:t>
        </w:r>
      </w:hyperlink>
      <w:r>
        <w:rPr>
          <w:rFonts w:ascii="Arial" w:cs="Arial" w:eastAsia="Arial" w:hAnsi="Arial"/>
          <w:sz w:val="24"/>
          <w:szCs w:val="24"/>
        </w:rPr>
        <w:t xml:space="preserve">, "О повышении статуса и имиджа предпринимателей Кыргызской Республики" </w:t>
      </w:r>
      <w:hyperlink w:history="1" r:id="rIdoj2lc1yw8dfq9fh0lvgx0">
        <w:r>
          <w:rPr>
            <w:rFonts w:ascii="Arial" w:cs="Arial" w:eastAsia="Arial" w:hAnsi="Arial"/>
            <w:color w:val="1D4ED8"/>
            <w:sz w:val="24"/>
            <w:szCs w:val="24"/>
            <w:u w:val="single"/>
          </w:rPr>
          <w:t xml:space="preserve">от 1 июля 2022 года № 212</w:t>
        </w:r>
      </w:hyperlink>
      <w:r>
        <w:rPr>
          <w:rFonts w:ascii="Arial" w:cs="Arial" w:eastAsia="Arial" w:hAnsi="Arial"/>
          <w:sz w:val="24"/>
          <w:szCs w:val="24"/>
        </w:rPr>
        <w:t xml:space="preserve">, направленных на обеспечение конституционных гарантий защиты собственности, стимулирование устойчивого роста экономики, исключение необоснованного вмешательства государства в экономическую деятельность субъектов предпринимательства, а также повышение доверия инвесторов, создание благоприятного инвестиционного климата и деловой среды.</w:t>
      </w:r>
    </w:p>
    <w:p>
      <w:pPr>
        <w:spacing w:after="120"/>
        <w:ind w:firstLine="567"/>
        <w:jc w:val="both"/>
      </w:pPr>
      <w:r>
        <w:rPr>
          <w:rFonts w:ascii="Arial" w:cs="Arial" w:eastAsia="Arial" w:hAnsi="Arial"/>
          <w:sz w:val="24"/>
          <w:szCs w:val="24"/>
        </w:rPr>
        <w:t xml:space="preserve">В целях придания дополнительного импульса развитию предпринимательства в рамках реализации </w:t>
      </w:r>
      <w:hyperlink w:history="1" r:id="rIdaylqy6thzaltqa1b9nb98">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утвержденной </w:t>
      </w:r>
      <w:hyperlink w:history="1" r:id="rId2gp0bebpmjd-odbjxix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tgmmzifyhhv_rmvd9diew">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предусмотрен ряд мероприятий по сокращению регулятивных функций государства, налоговых проверок, упрощению налогового администрирования, цифровизации таможенных инфраструктур, повышению статуса предпринимателей путем формирования Реестра добросовестных предпринимателей, защите прав и интересов предпринимателей Кыргызской Республики через усиление роли бизнес-ассоциаций в государственно-частном диалоге, либерализации регулятивной политики путем наделения бизнеса функциями саморегулирования (передача некоторых государственных и муниципальных контрольных и надзорных функций за деятельностью субъектов предпринимательства).</w:t>
      </w:r>
    </w:p>
    <w:p>
      <w:pPr>
        <w:spacing w:after="120"/>
        <w:ind w:firstLine="567"/>
        <w:jc w:val="both"/>
      </w:pPr>
      <w:r>
        <w:rPr>
          <w:rFonts w:ascii="Arial" w:cs="Arial" w:eastAsia="Arial" w:hAnsi="Arial"/>
          <w:sz w:val="24"/>
          <w:szCs w:val="24"/>
        </w:rPr>
        <w:t xml:space="preserve">Продолжится применение стимулирующего механизма предпринимательства через включение в Реестр добросовестных предпринимателей Кыргызской Республики, которые имеют следующие привилегии: а) получают безвозмездное эфирное время на государственных телеканалах Кыргызской Республики для медиарекламы; б) получают налоговые и таможенные услуги вне очереди; в) бесплатно участвуют на международных выставках, ярмарках, форумах от Кыргызской Республики; г) освобождаются от проверок на три года со стороны государственных контролирующих органов, за исключением проверок, осуществляемых в соответствии с налоговым законодательством Кыргызской Республики, с момента включения в Реестр добросовестных предпринимателей Кыргызской Республики; д) получают льготное финансирование в рамках реализации государственных программ кредитования.</w:t>
      </w:r>
    </w:p>
    <w:p>
      <w:pPr>
        <w:spacing w:after="120"/>
        <w:ind w:firstLine="567"/>
        <w:jc w:val="both"/>
      </w:pPr>
      <w:r>
        <w:rPr>
          <w:rFonts w:ascii="Arial" w:cs="Arial" w:eastAsia="Arial" w:hAnsi="Arial"/>
          <w:sz w:val="24"/>
          <w:szCs w:val="24"/>
        </w:rPr>
        <w:t xml:space="preserve">В целях поддержки женского предпринимательства утверждена </w:t>
      </w:r>
      <w:hyperlink w:history="1" r:id="rId_q6ralecv8s-8b1bi4hlo">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поддержке и развитию женского предпринимательства в Кыргызской Республике на 2022-2026 годы </w:t>
      </w:r>
      <w:hyperlink w:history="1" r:id="rIdidwro7dzai4bacl8z3t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iiuxesqjvhmj8xuzur-c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женского предпринимательства в Кыргызской Республике на 2022-2026 годы" от 17 ноября 2021 года № 270, направленная на оптимизацию законодательной и регулятивной базы, совершенствование финансовой инфраструктуры, расширение доступа к финансовым услугам женщин-предпринимателей, развитие предпринимательской инфраструктуры, продвижение предпринимательской культуры и повышение финансовой грамотности женщин-предпринимателей.</w:t>
      </w:r>
    </w:p>
    <w:p>
      <w:pPr>
        <w:spacing w:after="120"/>
        <w:ind w:firstLine="567"/>
        <w:jc w:val="both"/>
      </w:pPr>
      <w:r>
        <w:rPr>
          <w:rFonts w:ascii="Arial" w:cs="Arial" w:eastAsia="Arial" w:hAnsi="Arial"/>
          <w:b/>
          <w:bCs/>
          <w:sz w:val="24"/>
          <w:szCs w:val="24"/>
        </w:rPr>
        <w:t xml:space="preserve">5. Инновационная политика</w:t>
      </w:r>
    </w:p>
    <w:p>
      <w:pPr>
        <w:spacing w:after="120"/>
        <w:ind w:firstLine="567"/>
        <w:jc w:val="both"/>
      </w:pPr>
      <w:r>
        <w:rPr>
          <w:rFonts w:ascii="Arial" w:cs="Arial" w:eastAsia="Arial" w:hAnsi="Arial"/>
          <w:sz w:val="24"/>
          <w:szCs w:val="24"/>
        </w:rPr>
        <w:t xml:space="preserve">Государственная инновационная политика будет направлена на создание благоприятной экономической среды для внедрения инновационных решений и технологий. В среднесрочной перспективе развитие рынка интеллектуальной собственности (ИС) будет сопровождаться мерами по наращиванию потенциала в области создания и коммерциализации ИС, а также по совершенствованию механизмов защиты и управления правами.</w:t>
      </w:r>
    </w:p>
    <w:p>
      <w:pPr>
        <w:spacing w:after="120"/>
        <w:ind w:firstLine="567"/>
        <w:jc w:val="both"/>
      </w:pPr>
      <w:r>
        <w:rPr>
          <w:rFonts w:ascii="Arial" w:cs="Arial" w:eastAsia="Arial" w:hAnsi="Arial"/>
          <w:sz w:val="24"/>
          <w:szCs w:val="24"/>
        </w:rPr>
        <w:t xml:space="preserve">Будет реализовываться политика по:</w:t>
      </w:r>
    </w:p>
    <w:p>
      <w:pPr>
        <w:spacing w:after="120"/>
        <w:ind w:firstLine="567"/>
        <w:jc w:val="both"/>
      </w:pPr>
      <w:r>
        <w:rPr>
          <w:rFonts w:ascii="Arial" w:cs="Arial" w:eastAsia="Arial" w:hAnsi="Arial"/>
          <w:sz w:val="24"/>
          <w:szCs w:val="24"/>
        </w:rPr>
        <w:t xml:space="preserve">- широкому информированию населения о значении ИС как инструмента развития экономики и повышения уровня жизни;</w:t>
      </w:r>
    </w:p>
    <w:p>
      <w:pPr>
        <w:spacing w:after="120"/>
        <w:ind w:firstLine="567"/>
        <w:jc w:val="both"/>
      </w:pPr>
      <w:r>
        <w:rPr>
          <w:rFonts w:ascii="Arial" w:cs="Arial" w:eastAsia="Arial" w:hAnsi="Arial"/>
          <w:sz w:val="24"/>
          <w:szCs w:val="24"/>
        </w:rPr>
        <w:t xml:space="preserve">- внедрению STEAM-образования (наука, технология, инженерия, искусство, математика) в школьные программы для подготовки квалифицированных кадров будущего;</w:t>
      </w:r>
    </w:p>
    <w:p>
      <w:pPr>
        <w:spacing w:after="120"/>
        <w:ind w:firstLine="567"/>
        <w:jc w:val="both"/>
      </w:pPr>
      <w:r>
        <w:rPr>
          <w:rFonts w:ascii="Arial" w:cs="Arial" w:eastAsia="Arial" w:hAnsi="Arial"/>
          <w:sz w:val="24"/>
          <w:szCs w:val="24"/>
        </w:rPr>
        <w:t xml:space="preserve">- стимулированию авторов к созданию и распространению творческих произведений, в том числе через создание онлайн-платформ для популяризации отечественных интеллектуальных продуктов;</w:t>
      </w:r>
    </w:p>
    <w:p>
      <w:pPr>
        <w:spacing w:after="120"/>
        <w:ind w:firstLine="567"/>
        <w:jc w:val="both"/>
      </w:pPr>
      <w:r>
        <w:rPr>
          <w:rFonts w:ascii="Arial" w:cs="Arial" w:eastAsia="Arial" w:hAnsi="Arial"/>
          <w:sz w:val="24"/>
          <w:szCs w:val="24"/>
        </w:rPr>
        <w:t xml:space="preserve">- модернизации системы регистрации объектов ИС с использованием цифровых технологий и элементов искусственного интеллекта для ускорения экспертизы заявок;</w:t>
      </w:r>
    </w:p>
    <w:p>
      <w:pPr>
        <w:spacing w:after="120"/>
        <w:ind w:firstLine="567"/>
        <w:jc w:val="both"/>
      </w:pPr>
      <w:r>
        <w:rPr>
          <w:rFonts w:ascii="Arial" w:cs="Arial" w:eastAsia="Arial" w:hAnsi="Arial"/>
          <w:sz w:val="24"/>
          <w:szCs w:val="24"/>
        </w:rPr>
        <w:t xml:space="preserve">- повышению квалификации работников правоохранительных и судебных органов в сфере защиты прав ИС;</w:t>
      </w:r>
    </w:p>
    <w:p>
      <w:pPr>
        <w:spacing w:after="120"/>
        <w:ind w:firstLine="567"/>
        <w:jc w:val="both"/>
      </w:pPr>
      <w:r>
        <w:rPr>
          <w:rFonts w:ascii="Arial" w:cs="Arial" w:eastAsia="Arial" w:hAnsi="Arial"/>
          <w:sz w:val="24"/>
          <w:szCs w:val="24"/>
        </w:rPr>
        <w:t xml:space="preserve">- обновлению нормативной базы в сфере защиты прав ИС, с акцентом на предотвращение нарушений в цифровом пространстве;</w:t>
      </w:r>
    </w:p>
    <w:p>
      <w:pPr>
        <w:spacing w:after="120"/>
        <w:ind w:firstLine="567"/>
        <w:jc w:val="both"/>
      </w:pPr>
      <w:r>
        <w:rPr>
          <w:rFonts w:ascii="Arial" w:cs="Arial" w:eastAsia="Arial" w:hAnsi="Arial"/>
          <w:sz w:val="24"/>
          <w:szCs w:val="24"/>
        </w:rPr>
        <w:t xml:space="preserve">- развитию экосистемы ИС и инноваций, поддерживающей взаимодействие бизнеса, изобретателей и исследовательских институтов;</w:t>
      </w:r>
    </w:p>
    <w:p>
      <w:pPr>
        <w:spacing w:after="120"/>
        <w:ind w:firstLine="567"/>
        <w:jc w:val="both"/>
      </w:pPr>
      <w:r>
        <w:rPr>
          <w:rFonts w:ascii="Arial" w:cs="Arial" w:eastAsia="Arial" w:hAnsi="Arial"/>
          <w:sz w:val="24"/>
          <w:szCs w:val="24"/>
        </w:rPr>
        <w:t xml:space="preserve">- расширению правовой и инфраструктурной поддержки для предпринимателей, вовлеченных в инновационную деятельность.</w:t>
      </w:r>
    </w:p>
    <w:p>
      <w:pPr>
        <w:spacing w:after="120"/>
        <w:ind w:firstLine="567"/>
        <w:jc w:val="both"/>
      </w:pPr>
      <w:r>
        <w:rPr>
          <w:rFonts w:ascii="Arial" w:cs="Arial" w:eastAsia="Arial" w:hAnsi="Arial"/>
          <w:sz w:val="24"/>
          <w:szCs w:val="24"/>
        </w:rPr>
        <w:t xml:space="preserve">Будет реализовываться комплекс мер по:</w:t>
      </w:r>
    </w:p>
    <w:p>
      <w:pPr>
        <w:spacing w:after="120"/>
        <w:ind w:firstLine="567"/>
        <w:jc w:val="both"/>
      </w:pPr>
      <w:r>
        <w:rPr>
          <w:rFonts w:ascii="Arial" w:cs="Arial" w:eastAsia="Arial" w:hAnsi="Arial"/>
          <w:sz w:val="24"/>
          <w:szCs w:val="24"/>
        </w:rPr>
        <w:t xml:space="preserve">- разработке дополнительных образовательных программ по ИС с учетом потребностей различных категорий обучающихся;</w:t>
      </w:r>
    </w:p>
    <w:p>
      <w:pPr>
        <w:spacing w:after="120"/>
        <w:ind w:firstLine="567"/>
        <w:jc w:val="both"/>
      </w:pPr>
      <w:r>
        <w:rPr>
          <w:rFonts w:ascii="Arial" w:cs="Arial" w:eastAsia="Arial" w:hAnsi="Arial"/>
          <w:sz w:val="24"/>
          <w:szCs w:val="24"/>
        </w:rPr>
        <w:t xml:space="preserve">- стимулированию патентной активности и правовой защиты результатов интеллектуальной деятельности;</w:t>
      </w:r>
    </w:p>
    <w:p>
      <w:pPr>
        <w:spacing w:after="120"/>
        <w:ind w:firstLine="567"/>
        <w:jc w:val="both"/>
      </w:pPr>
      <w:r>
        <w:rPr>
          <w:rFonts w:ascii="Arial" w:cs="Arial" w:eastAsia="Arial" w:hAnsi="Arial"/>
          <w:sz w:val="24"/>
          <w:szCs w:val="24"/>
        </w:rPr>
        <w:t xml:space="preserve">- оказанию поддержки региональным предпринимателям для устойчивого роста и инновационного развития;</w:t>
      </w:r>
    </w:p>
    <w:p>
      <w:pPr>
        <w:spacing w:after="120"/>
        <w:ind w:firstLine="567"/>
        <w:jc w:val="both"/>
      </w:pPr>
      <w:r>
        <w:rPr>
          <w:rFonts w:ascii="Arial" w:cs="Arial" w:eastAsia="Arial" w:hAnsi="Arial"/>
          <w:sz w:val="24"/>
          <w:szCs w:val="24"/>
        </w:rPr>
        <w:t xml:space="preserve">- повышению информированности общества по вопросам авторского права и смежных прав;</w:t>
      </w:r>
    </w:p>
    <w:p>
      <w:pPr>
        <w:spacing w:after="120"/>
        <w:ind w:firstLine="567"/>
        <w:jc w:val="both"/>
      </w:pPr>
      <w:r>
        <w:rPr>
          <w:rFonts w:ascii="Arial" w:cs="Arial" w:eastAsia="Arial" w:hAnsi="Arial"/>
          <w:sz w:val="24"/>
          <w:szCs w:val="24"/>
        </w:rPr>
        <w:t xml:space="preserve">- усовершенствованию системы предоставления правовой охраны объектам промышленной собственности и их регистрации;</w:t>
      </w:r>
    </w:p>
    <w:p>
      <w:pPr>
        <w:spacing w:after="120"/>
        <w:ind w:firstLine="567"/>
        <w:jc w:val="both"/>
      </w:pPr>
      <w:r>
        <w:rPr>
          <w:rFonts w:ascii="Arial" w:cs="Arial" w:eastAsia="Arial" w:hAnsi="Arial"/>
          <w:sz w:val="24"/>
          <w:szCs w:val="24"/>
        </w:rPr>
        <w:t xml:space="preserve">- модернизации процессов досудебного урегулирования споров в сфере ИС;</w:t>
      </w:r>
    </w:p>
    <w:p>
      <w:pPr>
        <w:spacing w:after="120"/>
        <w:ind w:firstLine="567"/>
        <w:jc w:val="both"/>
      </w:pPr>
      <w:r>
        <w:rPr>
          <w:rFonts w:ascii="Arial" w:cs="Arial" w:eastAsia="Arial" w:hAnsi="Arial"/>
          <w:sz w:val="24"/>
          <w:szCs w:val="24"/>
        </w:rPr>
        <w:t xml:space="preserve">- совершенствованию судебного администрирования в области защиты прав ИС;</w:t>
      </w:r>
    </w:p>
    <w:p>
      <w:pPr>
        <w:spacing w:after="120"/>
        <w:ind w:firstLine="567"/>
        <w:jc w:val="both"/>
      </w:pPr>
      <w:r>
        <w:rPr>
          <w:rFonts w:ascii="Arial" w:cs="Arial" w:eastAsia="Arial" w:hAnsi="Arial"/>
          <w:sz w:val="24"/>
          <w:szCs w:val="24"/>
        </w:rPr>
        <w:t xml:space="preserve">- поддержке инновационных предприятий для содействия экономической модернизации;</w:t>
      </w:r>
    </w:p>
    <w:p>
      <w:pPr>
        <w:spacing w:after="120"/>
        <w:ind w:firstLine="567"/>
        <w:jc w:val="both"/>
      </w:pPr>
      <w:r>
        <w:rPr>
          <w:rFonts w:ascii="Arial" w:cs="Arial" w:eastAsia="Arial" w:hAnsi="Arial"/>
          <w:sz w:val="24"/>
          <w:szCs w:val="24"/>
        </w:rPr>
        <w:t xml:space="preserve">- созданию благоприятных условий для коммерциализации интеллектуальной собственности в бизнес-секторе.</w:t>
      </w:r>
    </w:p>
    <w:p>
      <w:pPr>
        <w:spacing w:after="120"/>
        <w:ind w:firstLine="567"/>
        <w:jc w:val="both"/>
      </w:pPr>
      <w:r>
        <w:rPr>
          <w:rFonts w:ascii="Arial" w:cs="Arial" w:eastAsia="Arial" w:hAnsi="Arial"/>
          <w:sz w:val="24"/>
          <w:szCs w:val="24"/>
        </w:rPr>
        <w:t xml:space="preserve">Реализация данных мероприятий будет способствовать формированию единой стратегии развития национальной инновационной системы, созданию площадки для эффективного сотрудничества государства, бизнеса и научного сообщества, повышению уровня практических знаний и компетенций в сфере управления правами ИС, поддержке талантливой молодежи и стимулированию ее интеллектуальной активности, повышению осведомленности общества о рисках, связанных с оборотом контрафактной продукции, а также формированию профессионального сообщества экспертов, специализирующихся на вопросах интеллектуальной собственности и инноваций.</w:t>
      </w:r>
    </w:p>
    <w:p>
      <w:pPr>
        <w:spacing w:after="120"/>
        <w:ind w:firstLine="567"/>
        <w:jc w:val="both"/>
      </w:pPr>
      <w:r>
        <w:rPr>
          <w:rFonts w:ascii="Arial" w:cs="Arial" w:eastAsia="Arial" w:hAnsi="Arial"/>
          <w:sz w:val="24"/>
          <w:szCs w:val="24"/>
        </w:rPr>
        <w:t xml:space="preserve">Таким образом, реализация данных мер обеспечит долгосрочное развитие инновационного потенциала страны и создание условий для успешного функционирования рынка интеллектуальной собственности.</w:t>
      </w:r>
    </w:p>
    <w:p>
      <w:pPr>
        <w:spacing w:after="240" w:before="200"/>
        <w:jc w:val="center"/>
      </w:pPr>
      <w:r>
        <w:rPr>
          <w:rFonts w:ascii="Arial" w:cs="Arial" w:eastAsia="Arial" w:hAnsi="Arial"/>
          <w:b/>
          <w:bCs/>
          <w:sz w:val="24"/>
          <w:szCs w:val="24"/>
        </w:rPr>
        <w:t xml:space="preserve">§ 2. Прогноз экономического роста (по производству)</w:t>
      </w:r>
    </w:p>
    <w:p>
      <w:pPr>
        <w:spacing w:after="120"/>
        <w:ind w:firstLine="567"/>
        <w:jc w:val="both"/>
      </w:pPr>
      <w:r>
        <w:rPr>
          <w:rFonts w:ascii="Arial" w:cs="Arial" w:eastAsia="Arial" w:hAnsi="Arial"/>
          <w:sz w:val="24"/>
          <w:szCs w:val="24"/>
        </w:rPr>
        <w:t xml:space="preserve">На основе учета вышеуказанных предпосылок и предположений, применения дополнительной поддержки со стороны мер политики участников экономической деятельности в условиях сохранения влияния сложившихся геополитических условий, экономический рост на 2026 год прогнозируется на уровне 108,6%, с номинальным объемом 2067,0 млрд. сомов.</w:t>
      </w:r>
    </w:p>
    <w:p>
      <w:pPr>
        <w:spacing w:after="120"/>
        <w:ind w:firstLine="567"/>
        <w:jc w:val="both"/>
      </w:pPr>
      <w:r>
        <w:rPr>
          <w:rFonts w:ascii="Arial" w:cs="Arial" w:eastAsia="Arial" w:hAnsi="Arial"/>
          <w:sz w:val="24"/>
          <w:szCs w:val="24"/>
        </w:rPr>
        <w:t xml:space="preserve">Основные показатели в секторах экономики на 2026 год прогнозируются следующим образом: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9</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8"/>
        <w:gridCol w:w="1011"/>
        <w:gridCol w:w="1011"/>
        <w:gridCol w:w="1011"/>
        <w:gridCol w:w="1011"/>
        <w:gridCol w:w="1011"/>
        <w:gridCol w:w="1011"/>
        <w:gridCol w:w="1011"/>
        <w:gridCol w:w="1011"/>
      </w:tblGrid>
      <w:tr>
        <w:tc>
          <w:tcPr>
            <w:tcW w:type="dxa" w:w="20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40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п.п.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п.п.</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290418,8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330898,2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160232,2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158747,5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196390,6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926356,6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1073482,4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258991,8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306015,6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bl>
    <w:p>
      <w:pPr>
        <w:spacing w:after="120" w:before="120"/>
        <w:ind w:firstLine="567"/>
        <w:jc w:val="both"/>
      </w:pPr>
      <w:r>
        <w:rPr>
          <w:rFonts w:ascii="Arial" w:cs="Arial" w:eastAsia="Arial" w:hAnsi="Arial"/>
          <w:sz w:val="24"/>
          <w:szCs w:val="24"/>
        </w:rPr>
        <w:t xml:space="preserve">Экономический рост, прогнозируемый на уровне 8,6%, будет поддерживаться со стороны всех отраслей экономики, формирующих ВВП страны.</w:t>
      </w:r>
    </w:p>
    <w:p>
      <w:pPr>
        <w:spacing w:after="12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- 51,9%, а доля отраслей, производящих товары - 33,3%.</w:t>
      </w:r>
    </w:p>
    <w:p>
      <w:pPr>
        <w:spacing w:after="120"/>
        <w:ind w:firstLine="567"/>
        <w:jc w:val="both"/>
      </w:pPr>
      <w:r>
        <w:rPr>
          <w:rFonts w:ascii="Arial" w:cs="Arial" w:eastAsia="Arial" w:hAnsi="Arial"/>
          <w:sz w:val="24"/>
          <w:szCs w:val="24"/>
        </w:rPr>
        <w:t xml:space="preserve">В 2026 году экономический рост будет поддерживаться как со стороны спроса, так и предложения.</w:t>
      </w:r>
    </w:p>
    <w:p>
      <w:pPr>
        <w:spacing w:after="120"/>
        <w:ind w:firstLine="567"/>
        <w:jc w:val="both"/>
      </w:pPr>
      <w:r>
        <w:rPr>
          <w:rFonts w:ascii="Arial" w:cs="Arial" w:eastAsia="Arial" w:hAnsi="Arial"/>
          <w:sz w:val="24"/>
          <w:szCs w:val="24"/>
        </w:rPr>
        <w:t xml:space="preserve">Со стороны спроса ключевым источником экономической динамики останется внутренний спрос. Рост конечного потребления, составляющего основу внутреннего спроса, прогнозируется на уровне 4,5%. Основной вклад обеспечит частное потребление населения, увеличивающееся на 5,1%, в то время как государственное потребление возрастет умеренно - на 1,0%. Укреплению потребительской активности способствует рост реальных денежных доходов населения. Существенную поддержку также продолжит оказывать приток трансграничных денежных переводов физических лиц в страну - их объем увеличится на 13-15%, при этом около 35-40% этих средств будет направлено на текущее потребление, тем самым усиливая покупательскую способность домохозяйств.</w:t>
      </w:r>
    </w:p>
    <w:p>
      <w:pPr>
        <w:spacing w:after="120"/>
        <w:ind w:firstLine="567"/>
        <w:jc w:val="both"/>
      </w:pPr>
      <w:r>
        <w:rPr>
          <w:rFonts w:ascii="Arial" w:cs="Arial" w:eastAsia="Arial" w:hAnsi="Arial"/>
          <w:sz w:val="24"/>
          <w:szCs w:val="24"/>
        </w:rPr>
        <w:t xml:space="preserve">Дополнительным фактором, стимулирующим внутренний спрос, станет расширение объемов кредитования. Прогнозируется рост выданных кредитов на уровне 10-12%, причем особенно активное развитие продолжится за счет потребительских кредитов. Это облегчит доступ населения к товарам длительного пользования и различным видам услуг, расширяя возможности текущего потребления.</w:t>
      </w:r>
    </w:p>
    <w:p>
      <w:pPr>
        <w:spacing w:after="120"/>
        <w:ind w:firstLine="567"/>
        <w:jc w:val="both"/>
      </w:pPr>
      <w:r>
        <w:rPr>
          <w:rFonts w:ascii="Arial" w:cs="Arial" w:eastAsia="Arial" w:hAnsi="Arial"/>
          <w:sz w:val="24"/>
          <w:szCs w:val="24"/>
        </w:rPr>
        <w:t xml:space="preserve">Важным элементом внутреннего спроса остаются инвестиции. Объем валовых инвестиций оценивается на уровне 34% от ВВП, из которых 32% приходится на частные инвестиции. Прогнозируемое увеличение вложений в основной капитал до 392,6 млрд. сомов (в том числе 317,6 млрд. сомов - внутренние и 75,0 млрд. сомов - внешние) будет способствовать созданию базы для будущего расширения производственных мощностей и технологического обновления.</w:t>
      </w:r>
    </w:p>
    <w:p>
      <w:pPr>
        <w:spacing w:after="120"/>
        <w:ind w:firstLine="567"/>
        <w:jc w:val="both"/>
      </w:pPr>
      <w:r>
        <w:rPr>
          <w:rFonts w:ascii="Arial" w:cs="Arial" w:eastAsia="Arial" w:hAnsi="Arial"/>
          <w:sz w:val="24"/>
          <w:szCs w:val="24"/>
        </w:rPr>
        <w:t xml:space="preserve">Рост реальной заработной платы также поддержит внутренний спрос. В 2026 году номинальный размер достигнет 44165 сомов с темпом реального роста в 2,2%.</w:t>
      </w:r>
    </w:p>
    <w:p>
      <w:pPr>
        <w:spacing w:after="120"/>
        <w:ind w:firstLine="567"/>
        <w:jc w:val="both"/>
      </w:pPr>
      <w:r>
        <w:rPr>
          <w:rFonts w:ascii="Arial" w:cs="Arial" w:eastAsia="Arial" w:hAnsi="Arial"/>
          <w:sz w:val="24"/>
          <w:szCs w:val="24"/>
        </w:rPr>
        <w:t xml:space="preserve">Со стороны предложения устойчивый рост будет обеспечен позитивной динамикой в основных секторах экономики. Ведущими драйверами роста выступают сфера услуг и строительство. Строительный сектор сохранит высокие темпы роста, а его вклад в прирост ВВП составит 1,48 п.п. Сфера услуг традиционно остается крупнейшим сектором экономики, обеспечив вклад в экономический рост на уровне 4,22 п.п. Промышленность обеспечит вклад в рост ВВП на уровне 1,22 п.п. Особенно положительная динамика отмечается в промышленности без учета золота (темп роста достигнет 9,4%), что отражает продолжающуюся диверсификацию промышленного производства и укрепление несырьевого сегмента экономики.</w:t>
      </w:r>
    </w:p>
    <w:p>
      <w:pPr>
        <w:spacing w:after="120"/>
        <w:ind w:firstLine="567"/>
        <w:jc w:val="both"/>
      </w:pPr>
      <w:r>
        <w:rPr>
          <w:rFonts w:ascii="Arial" w:cs="Arial" w:eastAsia="Arial" w:hAnsi="Arial"/>
          <w:sz w:val="24"/>
          <w:szCs w:val="24"/>
        </w:rPr>
        <w:t xml:space="preserve">В 2026 году сформируется сбалансированное развитие спроса и предложения. С одной стороны, внутреннее потребление, инвестиционная активность и кредитная экспансия продолжат стимулировать спрос, с другой - стабильный рост в промышленности, строительстве и секторе услуг обеспечит соответствующее предложение. Умеренное опережение спроса над предложением может оказывать небольшое инфляционное давление, что отражается в прогнозируемом уровне инфляции на уровне 6,5% к декабрю предыдущего года.</w:t>
      </w:r>
    </w:p>
    <w:p>
      <w:pPr>
        <w:spacing w:after="120"/>
        <w:ind w:firstLine="567"/>
        <w:jc w:val="both"/>
      </w:pPr>
      <w:r>
        <w:rPr>
          <w:rFonts w:ascii="Arial" w:cs="Arial" w:eastAsia="Arial" w:hAnsi="Arial"/>
          <w:b/>
          <w:bCs/>
          <w:sz w:val="24"/>
          <w:szCs w:val="24"/>
        </w:rPr>
        <w:t xml:space="preserve">1. Развитие реального сектора</w:t>
      </w:r>
    </w:p>
    <w:p>
      <w:pPr>
        <w:spacing w:after="120"/>
        <w:ind w:firstLine="567"/>
        <w:jc w:val="both"/>
      </w:pPr>
      <w:r>
        <w:rPr>
          <w:rFonts w:ascii="Arial" w:cs="Arial" w:eastAsia="Arial" w:hAnsi="Arial"/>
          <w:b/>
          <w:bCs/>
          <w:sz w:val="24"/>
          <w:szCs w:val="24"/>
        </w:rPr>
        <w:t xml:space="preserve">1.1. Сельское хозяйство</w:t>
      </w:r>
    </w:p>
    <w:p>
      <w:pPr>
        <w:spacing w:after="120"/>
        <w:ind w:firstLine="567"/>
        <w:jc w:val="both"/>
      </w:pPr>
      <w:r>
        <w:rPr>
          <w:rFonts w:ascii="Arial" w:cs="Arial" w:eastAsia="Arial" w:hAnsi="Arial"/>
          <w:sz w:val="24"/>
          <w:szCs w:val="24"/>
        </w:rPr>
        <w:t xml:space="preserve">Политика развития агропромышленного сектора экономики будет направлена на принятие согласованных мер для обеспечения населения страны качественной, безопасной и доступной сельскохозяйственной продукцией отечественного производства, а также на увеличение объемов производства, повышение эффективности и конкурентоспособности агропромышленного комплекса Кыргызской Республики, поиск новых экспортных возможностей.</w:t>
      </w:r>
    </w:p>
    <w:p>
      <w:pPr>
        <w:spacing w:after="120"/>
        <w:ind w:firstLine="567"/>
        <w:jc w:val="both"/>
      </w:pPr>
      <w:r>
        <w:rPr>
          <w:rFonts w:ascii="Arial" w:cs="Arial" w:eastAsia="Arial" w:hAnsi="Arial"/>
          <w:sz w:val="24"/>
          <w:szCs w:val="24"/>
        </w:rPr>
        <w:t xml:space="preserve">Развитие агропромышленного комплекса будет сосредоточено на следующих приоритетах:</w:t>
      </w:r>
    </w:p>
    <w:p>
      <w:pPr>
        <w:spacing w:after="120"/>
        <w:ind w:firstLine="567"/>
        <w:jc w:val="both"/>
      </w:pPr>
      <w:r>
        <w:rPr>
          <w:rFonts w:ascii="Arial" w:cs="Arial" w:eastAsia="Arial" w:hAnsi="Arial"/>
          <w:sz w:val="24"/>
          <w:szCs w:val="24"/>
        </w:rPr>
        <w:t xml:space="preserve">- агропромышленная интеграция и повышение конкурентоспособности агропромышленного комплекса с целью обеспечения продовольственной безопасности;</w:t>
      </w:r>
    </w:p>
    <w:p>
      <w:pPr>
        <w:spacing w:after="120"/>
        <w:ind w:firstLine="567"/>
        <w:jc w:val="both"/>
      </w:pPr>
      <w:r>
        <w:rPr>
          <w:rFonts w:ascii="Arial" w:cs="Arial" w:eastAsia="Arial" w:hAnsi="Arial"/>
          <w:sz w:val="24"/>
          <w:szCs w:val="24"/>
        </w:rPr>
        <w:t xml:space="preserve">- создание благоприятных условий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 повышение эффективности использования земельных и водных ресурсов, адаптация сельскохозяйственного производства к изменению климата;</w:t>
      </w:r>
    </w:p>
    <w:p>
      <w:pPr>
        <w:spacing w:after="120"/>
        <w:ind w:firstLine="567"/>
        <w:jc w:val="both"/>
      </w:pPr>
      <w:r>
        <w:rPr>
          <w:rFonts w:ascii="Arial" w:cs="Arial" w:eastAsia="Arial" w:hAnsi="Arial"/>
          <w:sz w:val="24"/>
          <w:szCs w:val="24"/>
        </w:rPr>
        <w:t xml:space="preserve">- совершенствование управления и инновационное развитие агропромышленного комплекса.</w:t>
      </w:r>
    </w:p>
    <w:p>
      <w:pPr>
        <w:spacing w:after="120"/>
        <w:ind w:firstLine="567"/>
        <w:jc w:val="both"/>
      </w:pPr>
      <w:r>
        <w:rPr>
          <w:rFonts w:ascii="Arial" w:cs="Arial" w:eastAsia="Arial" w:hAnsi="Arial"/>
          <w:sz w:val="24"/>
          <w:szCs w:val="24"/>
        </w:rPr>
        <w:t xml:space="preserve">Основными задачами развития сельского хозяйства будут:</w:t>
      </w:r>
    </w:p>
    <w:p>
      <w:pPr>
        <w:spacing w:after="120"/>
        <w:ind w:firstLine="567"/>
        <w:jc w:val="both"/>
      </w:pPr>
      <w:r>
        <w:rPr>
          <w:rFonts w:ascii="Arial" w:cs="Arial" w:eastAsia="Arial" w:hAnsi="Arial"/>
          <w:sz w:val="24"/>
          <w:szCs w:val="24"/>
        </w:rPr>
        <w:t xml:space="preserve">- повышение эффективности использования и рыночного оборота земель сельскохозяйственного назначения;</w:t>
      </w:r>
    </w:p>
    <w:p>
      <w:pPr>
        <w:spacing w:after="12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на национальном и областном уровнях, в том числе организация агрокластеров по переработке сельскохозяйственной продукции;</w:t>
      </w:r>
    </w:p>
    <w:p>
      <w:pPr>
        <w:spacing w:after="120"/>
        <w:ind w:firstLine="567"/>
        <w:jc w:val="both"/>
      </w:pPr>
      <w:r>
        <w:rPr>
          <w:rFonts w:ascii="Arial" w:cs="Arial" w:eastAsia="Arial" w:hAnsi="Arial"/>
          <w:sz w:val="24"/>
          <w:szCs w:val="24"/>
        </w:rPr>
        <w:t xml:space="preserve">- создание условий для крупных землепользователей с целью строительства ферм на своих земельных участках, необходимых для развития фермерства;</w:t>
      </w:r>
    </w:p>
    <w:p>
      <w:pPr>
        <w:spacing w:after="12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для улучшения доступа фермеров к инновациям и современным технологиям;</w:t>
      </w:r>
    </w:p>
    <w:p>
      <w:pPr>
        <w:spacing w:after="120"/>
        <w:ind w:firstLine="567"/>
        <w:jc w:val="both"/>
      </w:pPr>
      <w:r>
        <w:rPr>
          <w:rFonts w:ascii="Arial" w:cs="Arial" w:eastAsia="Arial" w:hAnsi="Arial"/>
          <w:sz w:val="24"/>
          <w:szCs w:val="24"/>
        </w:rPr>
        <w:t xml:space="preserve">- внедрение цифровых технологий в сельском хозяйстве для обеспечения прослеживаемости и безопасности сельскохозяйственной продукции;</w:t>
      </w:r>
    </w:p>
    <w:p>
      <w:pPr>
        <w:spacing w:after="12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120"/>
        <w:ind w:firstLine="567"/>
        <w:jc w:val="both"/>
      </w:pPr>
      <w:r>
        <w:rPr>
          <w:rFonts w:ascii="Arial" w:cs="Arial" w:eastAsia="Arial" w:hAnsi="Arial"/>
          <w:sz w:val="24"/>
          <w:szCs w:val="24"/>
        </w:rPr>
        <w:t xml:space="preserve">- внедрение технологий для улучшения учета воды и управления водными ресурсами в ирригационной сети;</w:t>
      </w:r>
    </w:p>
    <w:p>
      <w:pPr>
        <w:spacing w:after="120"/>
        <w:ind w:firstLine="567"/>
        <w:jc w:val="both"/>
      </w:pPr>
      <w:r>
        <w:rPr>
          <w:rFonts w:ascii="Arial" w:cs="Arial" w:eastAsia="Arial" w:hAnsi="Arial"/>
          <w:sz w:val="24"/>
          <w:szCs w:val="24"/>
        </w:rPr>
        <w:t xml:space="preserve">- развитие производства кормов и селекции животных для увеличения производительности скота и других животных;</w:t>
      </w:r>
    </w:p>
    <w:p>
      <w:pPr>
        <w:spacing w:after="120"/>
        <w:ind w:firstLine="567"/>
        <w:jc w:val="both"/>
      </w:pPr>
      <w:r>
        <w:rPr>
          <w:rFonts w:ascii="Arial" w:cs="Arial" w:eastAsia="Arial" w:hAnsi="Arial"/>
          <w:sz w:val="24"/>
          <w:szCs w:val="24"/>
        </w:rPr>
        <w:t xml:space="preserve">- улучшение инфраструктуры сельского хозяйства, включая ирригационные системы и электрификацию.</w:t>
      </w:r>
    </w:p>
    <w:p>
      <w:pPr>
        <w:spacing w:after="120"/>
        <w:ind w:firstLine="567"/>
        <w:jc w:val="both"/>
      </w:pPr>
      <w:r>
        <w:rPr>
          <w:rFonts w:ascii="Arial" w:cs="Arial" w:eastAsia="Arial" w:hAnsi="Arial"/>
          <w:sz w:val="24"/>
          <w:szCs w:val="24"/>
        </w:rPr>
        <w:t xml:space="preserve">Развитие агропромышленного комплекса будет осуществляться в рамках реализации </w:t>
      </w:r>
      <w:hyperlink w:history="1" r:id="rIdpb8jy6vfovq8xussxopt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w:t>
      </w:r>
    </w:p>
    <w:p>
      <w:pPr>
        <w:spacing w:after="12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8_-8png-9f8cfewueiaw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а также в следующих программных документах: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Государственная программа</w:t>
      </w:r>
      <w:r>
        <w:rPr>
          <w:rFonts w:ascii="Arial" w:cs="Arial" w:eastAsia="Arial" w:hAnsi="Arial"/>
          <w:sz w:val="24"/>
          <w:szCs w:val="24"/>
        </w:rPr>
        <w:t xml:space="preserve"> развития ирригации в Кыргызской Республике на 2017-2026 годы, утвержденная </w:t>
      </w:r>
      <w:hyperlink w:history="1" r:id="rIdni5bcqplbh4bxsewc6y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развития ирригации Кыргызской Республики на 2017-2026 годы"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120"/>
        <w:ind w:firstLine="567"/>
        <w:jc w:val="both"/>
      </w:pPr>
      <w:r>
        <w:rPr>
          <w:rFonts w:ascii="Arial" w:cs="Arial" w:eastAsia="Arial" w:hAnsi="Arial"/>
          <w:sz w:val="24"/>
          <w:szCs w:val="24"/>
        </w:rPr>
        <w:t xml:space="preserve">- Программа повышения плодородия почв Кыргызской Республики на 2025-2028 годы, утвержденная распоряжением Кабинета Министров Кыргызской Республики от 23 марта 2025 года № 107, направленная на повышение рационального хозяйственного использования плодородия почвы и охраны земель;</w:t>
      </w:r>
    </w:p>
    <w:p>
      <w:pPr>
        <w:spacing w:after="120"/>
        <w:ind w:firstLine="567"/>
        <w:jc w:val="both"/>
      </w:pPr>
      <w:r>
        <w:rPr>
          <w:rFonts w:ascii="Arial" w:cs="Arial" w:eastAsia="Arial" w:hAnsi="Arial"/>
          <w:sz w:val="24"/>
          <w:szCs w:val="24"/>
        </w:rPr>
        <w:t xml:space="preserve">- </w:t>
      </w:r>
      <w:hyperlink w:history="1" r:id="rId9xp7jhklsrajfecydqd1y">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сельскохозяйственной кооперации в Кыргызской Республике 2023-2027 годы, утвержденная </w:t>
      </w:r>
      <w:hyperlink w:history="1" r:id="rId5k1zyqpdzfrqzvfl8yj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cmwogasipbdslruha4r1a">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сельскохозяйственной кооперации в Кыргызской Республике на 2023-2027 годы" от 23 августа 2023 года № 418,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120"/>
        <w:ind w:firstLine="567"/>
        <w:jc w:val="both"/>
      </w:pPr>
      <w:r>
        <w:rPr>
          <w:rFonts w:ascii="Arial" w:cs="Arial" w:eastAsia="Arial" w:hAnsi="Arial"/>
          <w:sz w:val="24"/>
          <w:szCs w:val="24"/>
        </w:rPr>
        <w:t xml:space="preserve">- </w:t>
      </w:r>
      <w:hyperlink w:history="1" r:id="rIdw7ooix7iedydmylpmyyy_">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утвержденная </w:t>
      </w:r>
      <w:hyperlink w:history="1" r:id="rIdawzzfyupkkwmn9yp-fw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0vyez7wcy1cdlo_x5lej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от 12 декабря 2023 года № 671;</w:t>
      </w:r>
    </w:p>
    <w:p>
      <w:pPr>
        <w:spacing w:after="120"/>
        <w:ind w:firstLine="567"/>
        <w:jc w:val="both"/>
      </w:pPr>
      <w:r>
        <w:rPr>
          <w:rFonts w:ascii="Arial" w:cs="Arial" w:eastAsia="Arial" w:hAnsi="Arial"/>
          <w:sz w:val="24"/>
          <w:szCs w:val="24"/>
        </w:rPr>
        <w:t xml:space="preserve">- Концепция кластерной политики в агропромышленном комплексе Кыргызской Республики до 2031 года (внесен в Кабинет Министров Кыргызской Республики для утверждения).</w:t>
      </w:r>
    </w:p>
    <w:p>
      <w:pPr>
        <w:spacing w:after="120"/>
        <w:ind w:firstLine="567"/>
        <w:jc w:val="both"/>
      </w:pPr>
      <w:r>
        <w:rPr>
          <w:rFonts w:ascii="Arial" w:cs="Arial" w:eastAsia="Arial" w:hAnsi="Arial"/>
          <w:sz w:val="24"/>
          <w:szCs w:val="24"/>
        </w:rPr>
        <w:t xml:space="preserve">В целях оказания государственной поддержки хозяйствующим субъектам аграрного сектора республики будет продолжено льготное кредитование посредством реализации проектов, в частности "Кредитование агропромышленного комплекса" для поддержки хозяйствующих субъектов аграрного сектора, путем льготного кредитования развития агропромышленных кластеров: молока, мяса (мяса КРС и МРС, птицы, рыбы), сахара, куриного яйца, овощей, фруктов, картофеля, растительного масла, зерновых культур, в соответствии с </w:t>
      </w:r>
      <w:hyperlink w:history="1" r:id="rIda8to5jzsh3nukel97vua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16 марта 2022 года № 120-р.</w:t>
      </w:r>
    </w:p>
    <w:p>
      <w:pPr>
        <w:spacing w:after="120"/>
        <w:ind w:firstLine="567"/>
        <w:jc w:val="both"/>
      </w:pPr>
      <w:r>
        <w:rPr>
          <w:rFonts w:ascii="Arial" w:cs="Arial" w:eastAsia="Arial" w:hAnsi="Arial"/>
          <w:sz w:val="24"/>
          <w:szCs w:val="24"/>
        </w:rPr>
        <w:t xml:space="preserve">Вследствие реализации мер, предусмотренных в вышеперечисленных программных документах, валовой выпуск продукции сельского хозяйства, лесного хозяйства и рыболовства на 2026 год прогнозируется в объеме 483,5 млрд. сомов, а темп реального прироста - на уровне 4,2%, за счет прироста в растениеводстве - на 5,4% и животноводстве - на 3,2%.</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10</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Динамика темпов роста в сельском хозяйстве на 2025-2026 годы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5"/>
        <w:gridCol w:w="1068"/>
        <w:gridCol w:w="1068"/>
        <w:gridCol w:w="1068"/>
        <w:gridCol w:w="1068"/>
      </w:tblGrid>
      <w:tr>
        <w:tc>
          <w:tcPr>
            <w:tcW w:type="dxa" w:w="59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1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w:t>
            </w:r>
          </w:p>
        </w:tc>
        <w:tc>
          <w:tcPr>
            <w:tcW w:type="dxa" w:w="21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438161,0</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483501,0</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209132,4</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234501,9</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210722,8</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230367,4</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bl>
    <w:p>
      <w:pPr>
        <w:spacing w:after="120" w:before="12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0,34 п.п., удельный вес в структуре производства ВВП - 7,8%.</w:t>
      </w:r>
    </w:p>
    <w:p>
      <w:pPr>
        <w:spacing w:after="120"/>
        <w:ind w:firstLine="567"/>
        <w:jc w:val="both"/>
      </w:pPr>
      <w:r>
        <w:rPr>
          <w:rFonts w:ascii="Arial" w:cs="Arial" w:eastAsia="Arial" w:hAnsi="Arial"/>
          <w:b/>
          <w:bCs/>
          <w:sz w:val="24"/>
          <w:szCs w:val="24"/>
        </w:rPr>
        <w:t xml:space="preserve">Растениеводство</w:t>
      </w:r>
      <w:r>
        <w:rPr>
          <w:rFonts w:ascii="Arial" w:cs="Arial" w:eastAsia="Arial" w:hAnsi="Arial"/>
          <w:sz w:val="24"/>
          <w:szCs w:val="24"/>
        </w:rPr>
        <w:t xml:space="preserve">. Прогнозируемый рост производства продукции растениеводства на уровне 5,4% обусловлен планируемым увеличением производства следующих видов сельскохозяйственных культур:</w:t>
      </w:r>
    </w:p>
    <w:p>
      <w:pPr>
        <w:spacing w:after="120"/>
        <w:ind w:firstLine="567"/>
        <w:jc w:val="both"/>
      </w:pPr>
      <w:r>
        <w:rPr>
          <w:rFonts w:ascii="Arial" w:cs="Arial" w:eastAsia="Arial" w:hAnsi="Arial"/>
          <w:sz w:val="24"/>
          <w:szCs w:val="24"/>
        </w:rPr>
        <w:t xml:space="preserve">- прогнозируется увеличение производства зерновых культур на 3,1%, обусловленное ростом посевных площадей (до 676,9 тыс. га) и урожайности (34,7 ц/га);</w:t>
      </w:r>
    </w:p>
    <w:p>
      <w:pPr>
        <w:spacing w:after="120"/>
        <w:ind w:firstLine="567"/>
        <w:jc w:val="both"/>
      </w:pPr>
      <w:r>
        <w:rPr>
          <w:rFonts w:ascii="Arial" w:cs="Arial" w:eastAsia="Arial" w:hAnsi="Arial"/>
          <w:sz w:val="24"/>
          <w:szCs w:val="24"/>
        </w:rPr>
        <w:t xml:space="preserve">- прогнозируется увеличение производства сахарной свеклы на 3,0%, что связано с расширением посевных площадей (до 15,1 тыс. га) и повышением валового сбора (1071,2 тыс. тонн). Указанная отрасль обеспечивается повышенным государственным вниманием в рамках политики продовольственной безопасности и импортозамещения;</w:t>
      </w:r>
    </w:p>
    <w:p>
      <w:pPr>
        <w:spacing w:after="120"/>
        <w:ind w:firstLine="567"/>
        <w:jc w:val="both"/>
      </w:pPr>
      <w:r>
        <w:rPr>
          <w:rFonts w:ascii="Arial" w:cs="Arial" w:eastAsia="Arial" w:hAnsi="Arial"/>
          <w:sz w:val="24"/>
          <w:szCs w:val="24"/>
        </w:rPr>
        <w:t xml:space="preserve">- прогнозируется увеличение производства масличных культур на 14,0%, с ростом валового сбора до 22,8 тыс. тонн и увеличением площади посевов до 19 тыс. га. Значительное расширение обусловлено действием льготного налогового режима (нулевая ставка НДС на сырье) и растущим внутренним спросом на растительные масла;</w:t>
      </w:r>
    </w:p>
    <w:p>
      <w:pPr>
        <w:spacing w:after="120"/>
        <w:ind w:firstLine="567"/>
        <w:jc w:val="both"/>
      </w:pPr>
      <w:r>
        <w:rPr>
          <w:rFonts w:ascii="Arial" w:cs="Arial" w:eastAsia="Arial" w:hAnsi="Arial"/>
          <w:sz w:val="24"/>
          <w:szCs w:val="24"/>
        </w:rPr>
        <w:t xml:space="preserve">- прогнозируется увеличение производства овощей на 2,8%, за счет увеличения валового сбора (1295,3 тыс. тонн) и урожайности (215,0 ц/га), а также расширения внутреннего потребления и экспортного потенциала;</w:t>
      </w:r>
    </w:p>
    <w:p>
      <w:pPr>
        <w:spacing w:after="120"/>
        <w:ind w:firstLine="567"/>
        <w:jc w:val="both"/>
      </w:pPr>
      <w:r>
        <w:rPr>
          <w:rFonts w:ascii="Arial" w:cs="Arial" w:eastAsia="Arial" w:hAnsi="Arial"/>
          <w:sz w:val="24"/>
          <w:szCs w:val="24"/>
        </w:rPr>
        <w:t xml:space="preserve">- прогнозируется рост картофеля на 2,1%, за счет увеличения валового сбора до 1239,5 тыс. тонн и расширения посевных площадей до 66,45 тыс. га;</w:t>
      </w:r>
    </w:p>
    <w:p>
      <w:pPr>
        <w:spacing w:after="120"/>
        <w:ind w:firstLine="567"/>
        <w:jc w:val="both"/>
      </w:pPr>
      <w:r>
        <w:rPr>
          <w:rFonts w:ascii="Arial" w:cs="Arial" w:eastAsia="Arial" w:hAnsi="Arial"/>
          <w:sz w:val="24"/>
          <w:szCs w:val="24"/>
        </w:rPr>
        <w:t xml:space="preserve">- прогнозируется увеличение производства плодов и ягод на 2,8%, благодаря расширению площади плодоносящих насаждений до 54 тыс. га и активной государственной поддержке развития садоводства;</w:t>
      </w:r>
    </w:p>
    <w:p>
      <w:pPr>
        <w:spacing w:after="120"/>
        <w:ind w:firstLine="567"/>
        <w:jc w:val="both"/>
      </w:pPr>
      <w:r>
        <w:rPr>
          <w:rFonts w:ascii="Arial" w:cs="Arial" w:eastAsia="Arial" w:hAnsi="Arial"/>
          <w:sz w:val="24"/>
          <w:szCs w:val="24"/>
        </w:rPr>
        <w:t xml:space="preserve">- прогнозируется увеличение выращивания бахчевых культур на 3,3% и увеличением валового сбора до 299,6 тыс. тонн. Данный рост будет обусловлен активизацией сельхозтоваропроизводителей в южных регионах страны и благоприятной рыночной конъюнктурой.</w:t>
      </w:r>
    </w:p>
    <w:p>
      <w:pPr>
        <w:spacing w:after="120"/>
        <w:ind w:firstLine="567"/>
        <w:jc w:val="both"/>
      </w:pPr>
      <w:r>
        <w:rPr>
          <w:rFonts w:ascii="Arial" w:cs="Arial" w:eastAsia="Arial" w:hAnsi="Arial"/>
          <w:sz w:val="24"/>
          <w:szCs w:val="24"/>
        </w:rPr>
        <w:t xml:space="preserve">Прогнозируемые показатели роста обусловлены ожидаемым благоприятным воздействием природно-климатических условий и продолжением государственной поддержки сельскохозяйственных производителей. Также планируется продолжение государственной поддержки по обеспечению необходимой сельскохозяйственной техникой и удобрениями, специализация регионов на выращивании технических культур.</w:t>
      </w:r>
    </w:p>
    <w:p>
      <w:pPr>
        <w:spacing w:after="120"/>
        <w:ind w:firstLine="567"/>
        <w:jc w:val="both"/>
      </w:pPr>
      <w:r>
        <w:rPr>
          <w:rFonts w:ascii="Arial" w:cs="Arial" w:eastAsia="Arial" w:hAnsi="Arial"/>
          <w:b/>
          <w:bCs/>
          <w:sz w:val="24"/>
          <w:szCs w:val="24"/>
        </w:rPr>
        <w:t xml:space="preserve">Животноводство</w:t>
      </w:r>
      <w:r>
        <w:rPr>
          <w:rFonts w:ascii="Arial" w:cs="Arial" w:eastAsia="Arial" w:hAnsi="Arial"/>
          <w:sz w:val="24"/>
          <w:szCs w:val="24"/>
        </w:rPr>
        <w:t xml:space="preserve">. Прирост производства продукции животноводства прогнозируется на уровне 3,2%, за счет обеспечения благополучия эпизоотической обстановки от острозаразных болезней, увеличения площадей многолетних трав в севообороте и рационального использования кормовых ресурсов пастбищ, а также внедрения инновационных технологий. При этом прогнозируемый рост производства мяса в живом весе составит 3,0%, что приведет к увеличению на 14,2 тыс. тонн (до 487,2 тыс. тонн) по сравнению с 2025 годом. Производство молока прогнозируется увеличить на 3,2%, что приведет к росту на 60,2 тыс. тонн (до 1940,2 тыс. тонн), а производство яиц - на 5,7%, с увеличением на 47,5 млн. штук (до 881,5 млн. штук).</w:t>
      </w:r>
    </w:p>
    <w:p>
      <w:pPr>
        <w:spacing w:after="120"/>
        <w:ind w:firstLine="567"/>
        <w:jc w:val="both"/>
      </w:pPr>
      <w:r>
        <w:rPr>
          <w:rFonts w:ascii="Arial" w:cs="Arial" w:eastAsia="Arial" w:hAnsi="Arial"/>
          <w:sz w:val="24"/>
          <w:szCs w:val="24"/>
        </w:rPr>
        <w:t xml:space="preserve">Основные риски в данном секторе включают в себя неблагоприятные природно-климатические условия, истощение генофонда сельскохозяйственных животных, нестабильность цен на горюче-смазочные материалы, дефицит и дорогостоящие минеральные удобрения, нерациональное использование водных ресурсов при ирригационных работах, торговые барьеры и неблагоприятная эпизоотическая ситуация.</w:t>
      </w:r>
    </w:p>
    <w:p>
      <w:pPr>
        <w:spacing w:after="120"/>
        <w:ind w:firstLine="567"/>
        <w:jc w:val="both"/>
      </w:pPr>
      <w:r>
        <w:rPr>
          <w:rFonts w:ascii="Arial" w:cs="Arial" w:eastAsia="Arial" w:hAnsi="Arial"/>
          <w:b/>
          <w:bCs/>
          <w:sz w:val="24"/>
          <w:szCs w:val="24"/>
        </w:rPr>
        <w:t xml:space="preserve">1.2. Промышленность</w:t>
      </w:r>
    </w:p>
    <w:p>
      <w:pPr>
        <w:spacing w:after="120"/>
        <w:ind w:firstLine="567"/>
        <w:jc w:val="both"/>
      </w:pPr>
      <w:r>
        <w:rPr>
          <w:rFonts w:ascii="Arial" w:cs="Arial" w:eastAsia="Arial" w:hAnsi="Arial"/>
          <w:sz w:val="24"/>
          <w:szCs w:val="24"/>
        </w:rPr>
        <w:t xml:space="preserve">Роль промышленного сектора в экономике страны велика: основа технического прогресса, предоставление сырья для производства, инновации, новые открытия, количество рабочих мест, налоговые поступления в государственный бюджет. Технологическая важность промышленности заключается в ее способности порождать множество отраслей по соседству в результате синергии производственных компонентов и многозадачности множества элементов, а также создавать значительный мультипликативный эффект для смежных отраслей экономики. Помимо способности порождать инновации, реально изменяющие деятельность человечества, именно от промышленности и передового производства зависит уровень развития сферы услуг. Можно ожидать возникновения дополнительных стимулов для развития сферы научно-исследовательских и опытно-конструкторских работ, для осуществления инфраструктурных проектов в сфере транспорта и связи, развития системы образования и т.д.</w:t>
      </w:r>
    </w:p>
    <w:p>
      <w:pPr>
        <w:spacing w:after="120"/>
        <w:ind w:firstLine="567"/>
        <w:jc w:val="both"/>
      </w:pPr>
      <w:r>
        <w:rPr>
          <w:rFonts w:ascii="Arial" w:cs="Arial" w:eastAsia="Arial" w:hAnsi="Arial"/>
          <w:sz w:val="24"/>
          <w:szCs w:val="24"/>
        </w:rPr>
        <w:t xml:space="preserve">В условиях глобальных и региональных вызовов чрезвычайно важной задачей для Кыргызской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w:t>
      </w:r>
    </w:p>
    <w:p>
      <w:pPr>
        <w:spacing w:after="120"/>
        <w:ind w:firstLine="567"/>
        <w:jc w:val="both"/>
      </w:pPr>
      <w:r>
        <w:rPr>
          <w:rFonts w:ascii="Arial" w:cs="Arial" w:eastAsia="Arial" w:hAnsi="Arial"/>
          <w:sz w:val="24"/>
          <w:szCs w:val="24"/>
        </w:rPr>
        <w:t xml:space="preserve">В эпоху наступления новой эры высоких технологий, необходимо модернизироваться, внедряя передовые разработки и направляя усилия на повышение эффективности. Это не только укрепляет экономику, но и создает новые возможности для сотрудничества с международными партнерами.</w:t>
      </w:r>
    </w:p>
    <w:p>
      <w:pPr>
        <w:spacing w:after="120"/>
        <w:ind w:firstLine="567"/>
        <w:jc w:val="both"/>
      </w:pPr>
      <w:r>
        <w:rPr>
          <w:rFonts w:ascii="Arial" w:cs="Arial" w:eastAsia="Arial" w:hAnsi="Arial"/>
          <w:sz w:val="24"/>
          <w:szCs w:val="24"/>
        </w:rPr>
        <w:t xml:space="preserve">Основная цель развития промышленности в перспективе - создание современной, диверсифицированной промышленной базы с акцентом в перспективе на экспорт продукции с высокой добавленной стоимостью, выпуск конкурентоспособной продукции для обеспечения возможности выхода на региональный рынок и эффективной интеграции промышленности Кыргызской Республики в региональные хозяйственные экономические связи.</w:t>
      </w:r>
    </w:p>
    <w:p>
      <w:pPr>
        <w:spacing w:after="120"/>
        <w:ind w:firstLine="567"/>
        <w:jc w:val="both"/>
      </w:pPr>
      <w:r>
        <w:rPr>
          <w:rFonts w:ascii="Arial" w:cs="Arial" w:eastAsia="Arial" w:hAnsi="Arial"/>
          <w:sz w:val="24"/>
          <w:szCs w:val="24"/>
        </w:rPr>
        <w:t xml:space="preserve">Новая Национальная программа развития Кыргызской Республики до 2030 года нацелена к переходу к индустриализации экономики. Для достижения успеха необходимы инновационный подход, технологическая грамотность и инженерное мышление. Без крепкой производственной базы невозможно обеспечить устойчивый рост и развитие национальной экономики.</w:t>
      </w:r>
    </w:p>
    <w:p>
      <w:pPr>
        <w:spacing w:after="120"/>
        <w:ind w:firstLine="567"/>
        <w:jc w:val="both"/>
      </w:pPr>
      <w:r>
        <w:rPr>
          <w:rFonts w:ascii="Arial" w:cs="Arial" w:eastAsia="Arial" w:hAnsi="Arial"/>
          <w:sz w:val="24"/>
          <w:szCs w:val="24"/>
        </w:rPr>
        <w:t xml:space="preserve">Развитие промышленного сектора страны будет продолжено в рамках реализации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m2rj1ki0shpat2wmc1oz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w:t>
      </w:r>
      <w:hyperlink w:history="1" r:id="rId_7c4axyrnjnw8l8gxnu2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чрезвычайной ситуации в энергетической отрасли Кыргызской Республики" от 24 июля 2023 года № 178, </w:t>
      </w:r>
      <w:hyperlink w:history="1" r:id="rIdstao64hq6tmgoi4ya91-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вопросах реформирования горнодобывающей отрасли Кыргызской Республики" от 29 января 2021 года № 5, Национальной программы развития Кыргызской Республики до 2030 года, </w:t>
      </w:r>
      <w:hyperlink w:history="1" r:id="rIddgguvhoupguweczpnlst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утвержденной </w:t>
      </w:r>
      <w:hyperlink w:history="1" r:id="rIdkynmea83raed5g7b1ro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pzaknn2e7soqpka-mdjwg">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w:t>
      </w:r>
      <w:hyperlink w:history="1" r:id="rIdxhzqjt57tkb6f3qhwuch3">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утвержденной </w:t>
      </w:r>
      <w:hyperlink w:history="1" r:id="rIdi-0pcuamit_pnjqsu1l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xpgdhphzkujc4b4nq0xlm">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от 12 декабря 2023 года № 671, </w:t>
      </w:r>
      <w:hyperlink w:history="1" r:id="rId071_jno8d1r2hpy2cmp9l">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утвержденной </w:t>
      </w:r>
      <w:hyperlink w:history="1" r:id="rIdl9zyw1n35disogl-i7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uxrwhebafhhnkohgynec3">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от 18 марта 2025 года № 134, Национальной энергетической программы Кыргызской Республики до 2035 года, утвержденной </w:t>
      </w:r>
      <w:hyperlink w:history="1" r:id="rIddqgmme0hutm0ao844vy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одобрении проекта Национальной энергетической программы Кыргызской Республики до 2035 года" от 12 апреля 2024 года № 172.</w:t>
      </w:r>
    </w:p>
    <w:p>
      <w:pPr>
        <w:spacing w:after="120"/>
        <w:ind w:firstLine="567"/>
        <w:jc w:val="both"/>
      </w:pPr>
      <w:r>
        <w:rPr>
          <w:rFonts w:ascii="Arial" w:cs="Arial" w:eastAsia="Arial" w:hAnsi="Arial"/>
          <w:sz w:val="24"/>
          <w:szCs w:val="24"/>
        </w:rPr>
        <w:t xml:space="preserve">В условиях активной индустриализации страны основными направлениями будут:</w:t>
      </w:r>
    </w:p>
    <w:p>
      <w:pPr>
        <w:spacing w:after="120"/>
        <w:ind w:firstLine="567"/>
        <w:jc w:val="both"/>
      </w:pPr>
      <w:r>
        <w:rPr>
          <w:rFonts w:ascii="Arial" w:cs="Arial" w:eastAsia="Arial" w:hAnsi="Arial"/>
          <w:sz w:val="24"/>
          <w:szCs w:val="24"/>
        </w:rPr>
        <w:t xml:space="preserve">- внедрение современных технологий для повышения производительности;</w:t>
      </w:r>
    </w:p>
    <w:p>
      <w:pPr>
        <w:spacing w:after="120"/>
        <w:ind w:firstLine="567"/>
        <w:jc w:val="both"/>
      </w:pPr>
      <w:r>
        <w:rPr>
          <w:rFonts w:ascii="Arial" w:cs="Arial" w:eastAsia="Arial" w:hAnsi="Arial"/>
          <w:sz w:val="24"/>
          <w:szCs w:val="24"/>
        </w:rPr>
        <w:t xml:space="preserve">- развитие производственных кластеров и кооперации между предприятиями для оптимального использования ресурсов, совершенствования факторов производства и внедрения инноваций;</w:t>
      </w:r>
    </w:p>
    <w:p>
      <w:pPr>
        <w:spacing w:after="120"/>
        <w:ind w:firstLine="567"/>
        <w:jc w:val="both"/>
      </w:pPr>
      <w:r>
        <w:rPr>
          <w:rFonts w:ascii="Arial" w:cs="Arial" w:eastAsia="Arial" w:hAnsi="Arial"/>
          <w:sz w:val="24"/>
          <w:szCs w:val="24"/>
        </w:rPr>
        <w:t xml:space="preserve">- повышение энергоэффективности промышленности за счет внедрения энергосберегающих технологий;</w:t>
      </w:r>
    </w:p>
    <w:p>
      <w:pPr>
        <w:spacing w:after="120"/>
        <w:ind w:firstLine="567"/>
        <w:jc w:val="both"/>
      </w:pPr>
      <w:r>
        <w:rPr>
          <w:rFonts w:ascii="Arial" w:cs="Arial" w:eastAsia="Arial" w:hAnsi="Arial"/>
          <w:sz w:val="24"/>
          <w:szCs w:val="24"/>
        </w:rPr>
        <w:t xml:space="preserve">- формирование конкурентной среды, создание равных и предсказуемых условий экономической деятельности в промышленности;</w:t>
      </w:r>
    </w:p>
    <w:p>
      <w:pPr>
        <w:spacing w:after="120"/>
        <w:ind w:firstLine="567"/>
        <w:jc w:val="both"/>
      </w:pPr>
      <w:r>
        <w:rPr>
          <w:rFonts w:ascii="Arial" w:cs="Arial" w:eastAsia="Arial" w:hAnsi="Arial"/>
          <w:sz w:val="24"/>
          <w:szCs w:val="24"/>
        </w:rPr>
        <w:t xml:space="preserve">- развитие направлений с высокой добавленной стоимостью, расширение выхода на внешние рынки и активное развитие торгово-экономических отношений с третьими странами и интеграционными объединениями;</w:t>
      </w:r>
    </w:p>
    <w:p>
      <w:pPr>
        <w:spacing w:after="120"/>
        <w:ind w:firstLine="567"/>
        <w:jc w:val="both"/>
      </w:pPr>
      <w:r>
        <w:rPr>
          <w:rFonts w:ascii="Arial" w:cs="Arial" w:eastAsia="Arial" w:hAnsi="Arial"/>
          <w:sz w:val="24"/>
          <w:szCs w:val="24"/>
        </w:rPr>
        <w:t xml:space="preserve">- импортозамещение для снижения зависимости от импорта, особенно в сфере продовольственной безопасности и производства комплектующих товаров и фурнитуры;</w:t>
      </w:r>
    </w:p>
    <w:p>
      <w:pPr>
        <w:spacing w:after="120"/>
        <w:ind w:firstLine="567"/>
        <w:jc w:val="both"/>
      </w:pPr>
      <w:r>
        <w:rPr>
          <w:rFonts w:ascii="Arial" w:cs="Arial" w:eastAsia="Arial" w:hAnsi="Arial"/>
          <w:sz w:val="24"/>
          <w:szCs w:val="24"/>
        </w:rPr>
        <w:t xml:space="preserve">- высокие (опережающие) темпы развития энергетики для обеспечения энергетической безопасности, энергоэффективности, доступности энергоносителей для каждого потребителя с учетом климатических вызовов и устойчивого развития;</w:t>
      </w:r>
    </w:p>
    <w:p>
      <w:pPr>
        <w:spacing w:after="120"/>
        <w:ind w:firstLine="567"/>
        <w:jc w:val="both"/>
      </w:pPr>
      <w:r>
        <w:rPr>
          <w:rFonts w:ascii="Arial" w:cs="Arial" w:eastAsia="Arial" w:hAnsi="Arial"/>
          <w:sz w:val="24"/>
          <w:szCs w:val="24"/>
        </w:rPr>
        <w:t xml:space="preserve">- устранение пространственных и социально-экономических дисбалансов, формирование устойчивых территорий роста и обеспечение системного подхода к управлению развитием на местах.</w:t>
      </w:r>
    </w:p>
    <w:p>
      <w:pPr>
        <w:spacing w:after="120"/>
        <w:ind w:firstLine="567"/>
        <w:jc w:val="both"/>
      </w:pPr>
      <w:r>
        <w:rPr>
          <w:rFonts w:ascii="Arial" w:cs="Arial" w:eastAsia="Arial" w:hAnsi="Arial"/>
          <w:sz w:val="24"/>
          <w:szCs w:val="24"/>
        </w:rPr>
        <w:t xml:space="preserve">Поддерживающими мерами для реализации направлений будут являться развитие человеческого капитала, аналитика и цифровизация, финансирование и инвестиции, развитие инфраструктуры и создание инновационных и технологических центров для поддержки НИОКР и исследовательских проектов, сокращение барьеров и улучшение институциональной среды, стимулирование спроса на отечественную продукцию.</w:t>
      </w:r>
    </w:p>
    <w:p>
      <w:pPr>
        <w:spacing w:after="120"/>
        <w:ind w:firstLine="567"/>
        <w:jc w:val="both"/>
      </w:pPr>
      <w:r>
        <w:rPr>
          <w:rFonts w:ascii="Arial" w:cs="Arial" w:eastAsia="Arial" w:hAnsi="Arial"/>
          <w:sz w:val="24"/>
          <w:szCs w:val="24"/>
        </w:rPr>
        <w:t xml:space="preserve">Для формирования высокотехнологичной, конкурентоспособной, устойчивой и сбалансированной (в части спроса и предложения) промышленности, обеспечивающей внутренний и внешний рынки качественной, доступной, энергоэффективной продукцией, снижения зависимости отрасли от зарубежных технологий, оборудования, сырьевых компонентов и обеспечения занятости населения, а также для определения вектора развития промышленности Кыргызской Республики основными задачами станут: обновление технологической базы отраслей промышленности; стимулирование научных исследований и разработок, направленных на создание новых технологий и материалов; обеспечение для компаний равных условий конкуренции на внутреннем и внешнем рынках, а также развитие конкуренции на внутренних рынках, в том числе через поэтапное сокращение доли государства в капитале компаний; стимулирование экспорта продукции с высокой добавленной стоимостью; создание инновационной инфраструктуры для развития новых отраслей; решение вопросов размещения производительных сил в промышленных зонах городов; снятие регуляторных барьеров для вывода на рынок инновационной продукции и др.</w:t>
      </w:r>
    </w:p>
    <w:p>
      <w:pPr>
        <w:spacing w:after="120"/>
        <w:ind w:firstLine="567"/>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12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а также простаивающих предприятий. Реализуется проект по запуску 100 промышленных объектов.</w:t>
      </w:r>
    </w:p>
    <w:p>
      <w:pPr>
        <w:spacing w:after="120"/>
        <w:ind w:firstLine="567"/>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энергоэффективности реального сектора экономики, доступности энергоносителей для каждого потребителя и снижения техногенного воздействия на окружающую среду будут реализованы основные направления, заложенные в Национальной энергетической программе Кыргызской Республики до 2035 года, утвержденной </w:t>
      </w:r>
      <w:hyperlink w:history="1" r:id="rId7u788kjrotejyrk7_uo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одобрении проекта Национальной энергетической программы Кыргызской Республики до 2035 года" от 12 апреля 2024 года № 172. Основными направлениями являются: расширение и диверсификация генерирующих мощностей, повышение энергоэффективности и управление спросом, модернизация и цифровизация энергетической инфраструктуры, укрепление региональной интеграции, экологическая устойчивость и климатическая адаптация. Главными задачами остаются обеспечение устойчивой работы энергосистемы в осенне-зимний период и бесперебойное снабжение населения республики электрической, тепловой энергией и природным газом; усиление контроля за уровнем воды в Токтогульском водохранилище в целях недопущения аварийных ситуаций на каскаде Токтогульских ГЭС; устойчивые источники финансирования по устранению дефицита средств в отрасли; использование современных технологий для достижения прозрачности в энергетическом секторе.</w:t>
      </w:r>
    </w:p>
    <w:p>
      <w:pPr>
        <w:spacing w:after="120"/>
        <w:ind w:firstLine="567"/>
        <w:jc w:val="both"/>
      </w:pPr>
      <w:r>
        <w:rPr>
          <w:rFonts w:ascii="Arial" w:cs="Arial" w:eastAsia="Arial" w:hAnsi="Arial"/>
          <w:sz w:val="24"/>
          <w:szCs w:val="24"/>
        </w:rPr>
        <w:t xml:space="preserve">С целью ликвидации нарастающего дефицита электроэнергии со стороны государства приняты меры по строительству ГЭС, солнечных и ветряных станций и прочих генерирующих объектов. Одним из самых масштабных проектов является строительство Камбар-Атинской ГЭС-1 мощностью 1860 МВт, в 2023 году начаты подготовительные работы и пуск первых гидроагрегатов планируется к 2031 году. В целом до 2030 года планируется ввести около 30 электроэнергетических объектов, что позволит ликвидировать дефицит, обеспечить энергетическую независимость и экспортировать электроэнергию в другие страны, в частности по проекту CASA-1000.</w:t>
      </w:r>
    </w:p>
    <w:p>
      <w:pPr>
        <w:spacing w:after="120"/>
        <w:ind w:firstLine="567"/>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энергетической отрасли и обеспечения энергетической безопасности Кыргызской Республики, а также достижения рентабельности производства, тарифная политика предусматривает поэтапное повышение цен на электроэнергию до 2030 года. Действующие тарифы не покрывают реальные затраты на производство и модернизацию, что снижает финансовую устойчивость отрасли и делает непривлекательным сектор для инвесторов.</w:t>
      </w:r>
    </w:p>
    <w:p>
      <w:pPr>
        <w:spacing w:after="120"/>
        <w:ind w:firstLine="567"/>
        <w:jc w:val="both"/>
      </w:pPr>
      <w:r>
        <w:rPr>
          <w:rFonts w:ascii="Arial" w:cs="Arial" w:eastAsia="Arial" w:hAnsi="Arial"/>
          <w:sz w:val="24"/>
          <w:szCs w:val="24"/>
        </w:rPr>
        <w:t xml:space="preserve">Политика в сфере недропользования будет построена на основе поддержания баланса интересов государства и горнодобывающего бизнеса. Основными направлениями политики развития горнодобывающей отрасли будут:</w:t>
      </w:r>
    </w:p>
    <w:p>
      <w:pPr>
        <w:spacing w:after="120"/>
        <w:ind w:firstLine="567"/>
        <w:jc w:val="both"/>
      </w:pPr>
      <w:r>
        <w:rPr>
          <w:rFonts w:ascii="Arial" w:cs="Arial" w:eastAsia="Arial" w:hAnsi="Arial"/>
          <w:sz w:val="24"/>
          <w:szCs w:val="24"/>
        </w:rPr>
        <w:t xml:space="preserve">- создание благоприятных условий в области законодательства и государственного регулирования;</w:t>
      </w:r>
    </w:p>
    <w:p>
      <w:pPr>
        <w:spacing w:after="120"/>
        <w:ind w:firstLine="567"/>
        <w:jc w:val="both"/>
      </w:pPr>
      <w:r>
        <w:rPr>
          <w:rFonts w:ascii="Arial" w:cs="Arial" w:eastAsia="Arial" w:hAnsi="Arial"/>
          <w:sz w:val="24"/>
          <w:szCs w:val="24"/>
        </w:rPr>
        <w:t xml:space="preserve">- совершенствование геологической инфраструктуры;</w:t>
      </w:r>
    </w:p>
    <w:p>
      <w:pPr>
        <w:spacing w:after="120"/>
        <w:ind w:firstLine="567"/>
        <w:jc w:val="both"/>
      </w:pPr>
      <w:r>
        <w:rPr>
          <w:rFonts w:ascii="Arial" w:cs="Arial" w:eastAsia="Arial" w:hAnsi="Arial"/>
          <w:sz w:val="24"/>
          <w:szCs w:val="24"/>
        </w:rPr>
        <w:t xml:space="preserve">- ускоренное развитие золотодобывающей отрасли путем ввода в эксплуатацию уже подготовленных месторождений;</w:t>
      </w:r>
    </w:p>
    <w:p>
      <w:pPr>
        <w:spacing w:after="120"/>
        <w:ind w:firstLine="567"/>
        <w:jc w:val="both"/>
      </w:pPr>
      <w:r>
        <w:rPr>
          <w:rFonts w:ascii="Arial" w:cs="Arial" w:eastAsia="Arial" w:hAnsi="Arial"/>
          <w:sz w:val="24"/>
          <w:szCs w:val="24"/>
        </w:rPr>
        <w:t xml:space="preserve">- освоение новых месторождений полезных ископаемых и создание дополнительных рабочих мест;</w:t>
      </w:r>
    </w:p>
    <w:p>
      <w:pPr>
        <w:spacing w:after="120"/>
        <w:ind w:firstLine="567"/>
        <w:jc w:val="both"/>
      </w:pPr>
      <w:r>
        <w:rPr>
          <w:rFonts w:ascii="Arial" w:cs="Arial" w:eastAsia="Arial" w:hAnsi="Arial"/>
          <w:sz w:val="24"/>
          <w:szCs w:val="24"/>
        </w:rPr>
        <w:t xml:space="preserve">-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w:t>
      </w:r>
    </w:p>
    <w:p>
      <w:pPr>
        <w:spacing w:after="120"/>
        <w:ind w:firstLine="567"/>
        <w:jc w:val="both"/>
      </w:pPr>
      <w:r>
        <w:rPr>
          <w:rFonts w:ascii="Arial" w:cs="Arial" w:eastAsia="Arial" w:hAnsi="Arial"/>
          <w:sz w:val="24"/>
          <w:szCs w:val="24"/>
        </w:rPr>
        <w:t xml:space="preserve">- внедрение передовых горнодобывающих технологий и противодействие применению расточительных и экологически вредных методов добычи;</w:t>
      </w:r>
    </w:p>
    <w:p>
      <w:pPr>
        <w:spacing w:after="120"/>
        <w:ind w:firstLine="567"/>
        <w:jc w:val="both"/>
      </w:pPr>
      <w:r>
        <w:rPr>
          <w:rFonts w:ascii="Arial" w:cs="Arial" w:eastAsia="Arial" w:hAnsi="Arial"/>
          <w:sz w:val="24"/>
          <w:szCs w:val="24"/>
        </w:rPr>
        <w:t xml:space="preserve">- принятие эффективных мер по стимулированию геологоразведочной деятельности и открытию новых месторождений с формированием к ним базы для дальнейшего долгосрочного роста;</w:t>
      </w:r>
    </w:p>
    <w:p>
      <w:pPr>
        <w:spacing w:after="120"/>
        <w:ind w:firstLine="567"/>
        <w:jc w:val="both"/>
      </w:pPr>
      <w:r>
        <w:rPr>
          <w:rFonts w:ascii="Arial" w:cs="Arial" w:eastAsia="Arial" w:hAnsi="Arial"/>
          <w:sz w:val="24"/>
          <w:szCs w:val="24"/>
        </w:rPr>
        <w:t xml:space="preserve">- разработка участков недр общегосударственного значения исключительно национальной горнодобывающей компанией со 100% участием государства в уставном капитале;</w:t>
      </w:r>
    </w:p>
    <w:p>
      <w:pPr>
        <w:spacing w:after="120"/>
        <w:ind w:firstLine="567"/>
        <w:jc w:val="both"/>
      </w:pPr>
      <w:r>
        <w:rPr>
          <w:rFonts w:ascii="Arial" w:cs="Arial" w:eastAsia="Arial" w:hAnsi="Arial"/>
          <w:sz w:val="24"/>
          <w:szCs w:val="24"/>
        </w:rPr>
        <w:t xml:space="preserve">- широкое использование цифровых платформ при выдаче разрешительных и иных документов в сфере недропользования.</w:t>
      </w:r>
    </w:p>
    <w:p>
      <w:pPr>
        <w:spacing w:after="120"/>
        <w:ind w:firstLine="567"/>
        <w:jc w:val="both"/>
      </w:pPr>
      <w:r>
        <w:rPr>
          <w:rFonts w:ascii="Arial" w:cs="Arial" w:eastAsia="Arial" w:hAnsi="Arial"/>
          <w:sz w:val="24"/>
          <w:szCs w:val="24"/>
        </w:rPr>
        <w:t xml:space="preserve">Строительство обогатительных фабрик станет одним из реальных инструментов создания цепочек добавленной стоимости на территории страны. Будут предложены меры по устранению конфликтов горнодобывающих предприятий с местным населением, а также по соблюдению необходимых требований по экологической безопасности и применению современных технологий при реализации инвестиционных бизнес-проектов.</w:t>
      </w:r>
    </w:p>
    <w:p>
      <w:pPr>
        <w:spacing w:after="120"/>
        <w:ind w:firstLine="567"/>
        <w:jc w:val="both"/>
      </w:pPr>
      <w:r>
        <w:rPr>
          <w:rFonts w:ascii="Arial" w:cs="Arial" w:eastAsia="Arial" w:hAnsi="Arial"/>
          <w:sz w:val="24"/>
          <w:szCs w:val="24"/>
        </w:rPr>
        <w:t xml:space="preserve">В нефтеперерабатывающем производстве Кыргызской Республики будут созданы условия для привлечения иностранных партнеров к модернизации отечественных нефтеперерабатывающих предприятий и перехода на производство топлива высоких экологических стандартов качества.</w:t>
      </w:r>
    </w:p>
    <w:p>
      <w:pPr>
        <w:spacing w:after="120"/>
        <w:ind w:firstLine="567"/>
        <w:jc w:val="both"/>
      </w:pPr>
      <w:r>
        <w:rPr>
          <w:rFonts w:ascii="Arial" w:cs="Arial" w:eastAsia="Arial" w:hAnsi="Arial"/>
          <w:sz w:val="24"/>
          <w:szCs w:val="24"/>
        </w:rPr>
        <w:t xml:space="preserve">Значительный потенциал дальнейшего увеличения объемов производства стройматериалов в стране и развитие промышленной базы строительной индустрии будут ориентироваться на увеличение объемов жилищного и промышленного строительства, переход на новые архитектурно-строительные системы, увеличение доступного финансирования при формировании новых кооперационных цепочек от добычи сырья до производства готовой продукции.</w:t>
      </w:r>
    </w:p>
    <w:p>
      <w:pPr>
        <w:spacing w:after="120"/>
        <w:ind w:firstLine="567"/>
        <w:jc w:val="both"/>
      </w:pPr>
      <w:r>
        <w:rPr>
          <w:rFonts w:ascii="Arial" w:cs="Arial" w:eastAsia="Arial" w:hAnsi="Arial"/>
          <w:sz w:val="24"/>
          <w:szCs w:val="24"/>
        </w:rPr>
        <w:t xml:space="preserve">Одним из приоритетных направлений промышленной политики является рост и поддержка экспорта. Для этого необходимо решать задачи по техническому перевооружению промышленности, создать систему подготовки и обучения инженерных кадров, внедрить новые технологии, обеспечить оборотными средствами и сырьем промышленные структуры, создать механизмы, стимулирующие производство экспортной продукции. Благодаря предоставленному Кыргызской Республике статусу всеобщей системы преференций+ (далее - ВСП+) экспортеры из Кыргызской Республики смогут поставлять в ЕС товары по нулевым тарифным ставкам, то есть фактически беспошлинно. Кабинет Министров Кыргызской Республики будет реализовывать комплекс мер, которые позволят местным предприятиям использовать возможности ВСП+ для роста экспорта продукции в страны ЕС.</w:t>
      </w:r>
    </w:p>
    <w:p>
      <w:pPr>
        <w:spacing w:after="120"/>
        <w:ind w:firstLine="567"/>
        <w:jc w:val="both"/>
      </w:pPr>
      <w:r>
        <w:rPr>
          <w:rFonts w:ascii="Arial" w:cs="Arial" w:eastAsia="Arial" w:hAnsi="Arial"/>
          <w:sz w:val="24"/>
          <w:szCs w:val="24"/>
        </w:rPr>
        <w:t xml:space="preserve">В целях развития промышленного производства в регионах, устранения пространственных и социально-экономических дисбалансов, будут предусмотрены меры по созданию жизнеспособного и конкурентоспособного производственного потенциала, который включает в себя вопросы размещения производительных сил в промышленных зонах городов, районов с внедрением кластерных принципов управления, совмещением территориально-отраслевых критериев развития промышленности, формированием территорий опережающего развития.</w:t>
      </w:r>
    </w:p>
    <w:p>
      <w:pPr>
        <w:spacing w:after="12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механизмов финансовой поддержки кооперационных проектов в области промышленности в целях развития кооперационного сотрудничества государств-членов ЕАЭС.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12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120"/>
        <w:ind w:firstLine="567"/>
        <w:jc w:val="both"/>
      </w:pPr>
      <w:r>
        <w:rPr>
          <w:rFonts w:ascii="Arial" w:cs="Arial" w:eastAsia="Arial" w:hAnsi="Arial"/>
          <w:sz w:val="24"/>
          <w:szCs w:val="24"/>
        </w:rPr>
        <w:t xml:space="preserve">В промышленном секторе показатели характеризуются значительными колебаниями темпов роста. Во многом эти колебания обусловлены высокой зависимостью сектора от работы предприятий, разрабатывающих месторождения по добыче основных металлов (доля в общем объеме промышленности около 40%), а также неустойчивой работой энергетической отрасли (доля в промышленности около 10%) из-за влияния природно-климатического фактора.</w:t>
      </w:r>
    </w:p>
    <w:p>
      <w:pPr>
        <w:spacing w:after="120"/>
        <w:ind w:firstLine="567"/>
        <w:jc w:val="both"/>
      </w:pPr>
      <w:r>
        <w:rPr>
          <w:rFonts w:ascii="Arial" w:cs="Arial" w:eastAsia="Arial" w:hAnsi="Arial"/>
          <w:sz w:val="24"/>
          <w:szCs w:val="24"/>
        </w:rPr>
        <w:t xml:space="preserve">В промышленном секторе на 2026 год прогнозируется реальный рост объемов производства на 6,8%, без учета производства золота прогнозируется рост на уровне 9,3%.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11</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Динамика темпов роста в отраслях промышленности,
 в процентах к предыдущему году</w:t>
      </w:r>
      <w:r>
        <w:rPr>
          <w:rFonts w:ascii="Arial" w:cs="Arial" w:eastAsia="Arial" w:hAnsi="Arial"/>
          <w:sz w:val="24"/>
          <w:szCs w:val="24"/>
        </w:rPr>
        <w:t xml:space="preserve">(3)</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9"/>
        <w:gridCol w:w="1060"/>
        <w:gridCol w:w="1109"/>
      </w:tblGrid>
      <w:tr>
        <w:tc>
          <w:tcPr>
            <w:tcW w:type="dxa" w:w="80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106,8</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производства золота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bl>
    <w:p>
      <w:pPr>
        <w:spacing w:after="120" w:before="120"/>
        <w:ind w:firstLine="567"/>
        <w:jc w:val="both"/>
      </w:pPr>
      <w:r>
        <w:rPr>
          <w:rFonts w:ascii="Arial" w:cs="Arial" w:eastAsia="Arial" w:hAnsi="Arial"/>
          <w:sz w:val="24"/>
          <w:szCs w:val="24"/>
        </w:rPr>
        <w:t xml:space="preserve">В целом вклад промышленности в рост ВВП прогнозируется в 1,22 п.п., с удельным весом в объеме ВВП 16,0%.</w:t>
      </w:r>
    </w:p>
    <w:p>
      <w:pPr>
        <w:spacing w:after="120"/>
        <w:ind w:firstLine="567"/>
        <w:jc w:val="both"/>
      </w:pPr>
      <w:r>
        <w:rPr>
          <w:rFonts w:ascii="Arial" w:cs="Arial" w:eastAsia="Arial" w:hAnsi="Arial"/>
          <w:sz w:val="24"/>
          <w:szCs w:val="24"/>
        </w:rPr>
        <w:t xml:space="preserve">В обрабатывающем производстве, с самым высоким удельным весом (78,8%) в общем объеме производства промышленной продукции, в 2026 году прогнозируется реальный рост на уровне 7,6%, который обусловлен, в основном, за счет:</w:t>
      </w:r>
    </w:p>
    <w:p>
      <w:pPr>
        <w:spacing w:after="120"/>
        <w:ind w:firstLine="567"/>
        <w:jc w:val="both"/>
      </w:pPr>
      <w:r>
        <w:rPr>
          <w:rFonts w:ascii="Arial" w:cs="Arial" w:eastAsia="Arial" w:hAnsi="Arial"/>
          <w:sz w:val="24"/>
          <w:szCs w:val="24"/>
        </w:rPr>
        <w:t xml:space="preserve">- реального роста объемов производства продуктов (включая напитки) (удельный вес в общем объеме промышленности 16,2%), где прогнозируется прирост на 12% за счет устойчивой работы предприятий по производству хлеба, муки, молочных и мясных продуктов и других продуктов питания, спрос на которые стабилен. Основными мерами будут развитие пищевого и перерабатывающего производства как агрегатора кластерных объединений и кластерного производства; создание специальных лабораторий для определения качества сельскохозяйственной продукции животного и растительного происхождения, продуктов ее переработки, отвечающих требованиям международных стандартов, логистических центров, специализированных убойных цехов; усиление ветеринарного контроля и обеспечение прослеживаемости; продолжение льготного финансирования предприятий перерабатывающего производства. Запланировано создание до 2027 года не менее 30 новых и модернизация не менее 30 действующих предприятий пищевого производства, создание до 2027 года одного оптово-распределительного центра и не менее 3 логистических центров по хранению и реализации продукции на юге и севере республики. Данные меры позволят увеличить удельный вес переработки сельскохозяйственной продукции в общем объеме промышленного производства;</w:t>
      </w:r>
    </w:p>
    <w:p>
      <w:pPr>
        <w:spacing w:after="12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- 3,6%) на 6% за счет запуска новых предприятий и увеличения экспортных поставок, освоения новых рынков сбыта. В 2025 году предусматривается реализация проектов ОсОО "Алдос Текстиль" и ОсОО "Бурана Текстиль" в г.Токмок, ОсОО "Инсан Текстиль" и ОсОО "KG TEX" в Чуйской области. До 2027 года в г.Ош планируется создание текстильного кластера ОсОО "Кыргыз Текстиль ЛТД";</w:t>
      </w:r>
    </w:p>
    <w:p>
      <w:pPr>
        <w:spacing w:after="120"/>
        <w:ind w:firstLine="567"/>
        <w:jc w:val="both"/>
      </w:pPr>
      <w:r>
        <w:rPr>
          <w:rFonts w:ascii="Arial" w:cs="Arial" w:eastAsia="Arial" w:hAnsi="Arial"/>
          <w:sz w:val="24"/>
          <w:szCs w:val="24"/>
        </w:rPr>
        <w:t xml:space="preserve">- роста объемов производства строительных материалов на 10,6%, удельный вес которых в общем объеме промышленности составит 7,5% за счет: а) расширения географии отгрузки (Армения, Казахстан, Россия, Узбекистан, Латвия) и увеличения спроса на листовое стекло за счет загрузки производственной мощности ОсОО "Интергласс", где объем производства листового стекла достигнет 25 млн. кв.м с расширением ассортимента производимой продукции (термически полированное стекло; строительное многослойное стекло использованием различных видов ламинирующих пленок; посеребренное зеркало; пулестойкое стекло трех классов защиты); б) роста производства цемента и асбестоцементных изделий на 18%, который прогнозируется за счет стабильной работы мощностей ЗАО "Южно-Кыргызский Цемент", ОсОО "Южный комбинат строительных материалов", ОсОО "Ак-Сай Цемент", ОсОО "ТехноЛин" и наращивания мощностей ОАО "Кантский цементный завод", ОсОО "Терек-Таш", что позволит полностью покрыть потребность внутреннего рынка в цементе, а также наращивания действующих предприятий по производству строительных материалов - керамических строительных кирпичей, строительного гипса, выпуска дробленого песка и щебня, обработки камня за счет модернизации и реконструкции действующих кирпичных заводов и др. Состояние и перспективы развития производства строительных материалов в большей степени определяются развитием строительной отрасли и экспортными возможностями цементного и стекольного производств;</w:t>
      </w:r>
    </w:p>
    <w:p>
      <w:pPr>
        <w:spacing w:after="120"/>
        <w:ind w:firstLine="567"/>
        <w:jc w:val="both"/>
      </w:pPr>
      <w:r>
        <w:rPr>
          <w:rFonts w:ascii="Arial" w:cs="Arial" w:eastAsia="Arial" w:hAnsi="Arial"/>
          <w:sz w:val="24"/>
          <w:szCs w:val="24"/>
        </w:rPr>
        <w:t xml:space="preserve">- роста физического объема производства основного металла на 4,6% за счет стабильной работы предприятий по разработке месторождений Кумтор, Джеруй, Талды-Булак-Левобережный, где прогнозируется увеличение объемов на 1,5%. Кроме того, увеличение прогнозируется за счет наращивания объемов производства основных металлов на предприятиях ОсОО "Эти Бакыр Терексай", ОсОО "Макмал Голд Компани", где прогнозируется рост физических объемов на 5,6%;</w:t>
      </w:r>
    </w:p>
    <w:p>
      <w:pPr>
        <w:spacing w:after="120"/>
        <w:ind w:firstLine="567"/>
        <w:jc w:val="both"/>
      </w:pPr>
      <w:r>
        <w:rPr>
          <w:rFonts w:ascii="Arial" w:cs="Arial" w:eastAsia="Arial" w:hAnsi="Arial"/>
          <w:sz w:val="24"/>
          <w:szCs w:val="24"/>
        </w:rPr>
        <w:t xml:space="preserve">- увеличения объемов производства машин и оборудования на 5,4%, которые будут обеспечены за счет наращивания объемов производства на предприятиях отрасли, расширения номенклатуры выпускаемой продукции;</w:t>
      </w:r>
    </w:p>
    <w:p>
      <w:pPr>
        <w:spacing w:after="120"/>
        <w:ind w:firstLine="567"/>
        <w:jc w:val="both"/>
      </w:pPr>
      <w:r>
        <w:rPr>
          <w:rFonts w:ascii="Arial" w:cs="Arial" w:eastAsia="Arial" w:hAnsi="Arial"/>
          <w:sz w:val="24"/>
          <w:szCs w:val="24"/>
        </w:rPr>
        <w:t xml:space="preserve">- роста объемов производства транспортных средств в 2,4 раза за счет динамичного развития машиностроения, прежде всего, за счет отраслевых субсидий (льготное автокредитование, льготный лизинг), государственных закупок, а также реализации инвестиционных проектов по перезапуску производственных площадок автосборочных производств;</w:t>
      </w:r>
    </w:p>
    <w:p>
      <w:pPr>
        <w:spacing w:after="12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(прирост на 3,2%), деревянных и бумажных изделий; полиграфической деятельности (на 3,0%), химической продукции (на 4,5%), фармацевтической продукции (на 8,5%), резиновых и пластмассовых изделий (на 6,2%), компьютеров, электронного и оптического оборудования (на 6,5%), мебели, ремонт и установка машин и оборудования (на 8,9%).</w:t>
      </w:r>
    </w:p>
    <w:p>
      <w:pPr>
        <w:spacing w:after="120"/>
        <w:ind w:firstLine="567"/>
        <w:jc w:val="both"/>
      </w:pPr>
      <w:r>
        <w:rPr>
          <w:rFonts w:ascii="Arial" w:cs="Arial" w:eastAsia="Arial" w:hAnsi="Arial"/>
          <w:sz w:val="24"/>
          <w:szCs w:val="24"/>
        </w:rPr>
        <w:t xml:space="preserve">В добыче полезных ископаемых (удельный вес 9,6% в объеме промышленного производства) в 2026 году прирост объема производства прогнозируется на уровне 3,3%, в том числе добыча каменного и бурого угля увеличится на 7,5%, металлических руд - на 2,7%, сырой нефти и природного газа - на 1,0%.</w:t>
      </w:r>
    </w:p>
    <w:p>
      <w:pPr>
        <w:spacing w:after="12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120"/>
        <w:ind w:firstLine="567"/>
        <w:jc w:val="both"/>
      </w:pPr>
      <w:r>
        <w:rPr>
          <w:rFonts w:ascii="Arial" w:cs="Arial" w:eastAsia="Arial" w:hAnsi="Arial"/>
          <w:sz w:val="24"/>
          <w:szCs w:val="24"/>
        </w:rPr>
        <w:t xml:space="preserve">- дальнейшего развития сырьевой базы Кавакского буроугольного месторождения и месторождения южного региона республики, на которые получены лицензии на их разведку и разработку;</w:t>
      </w:r>
    </w:p>
    <w:p>
      <w:pPr>
        <w:spacing w:after="120"/>
        <w:ind w:firstLine="567"/>
        <w:jc w:val="both"/>
      </w:pPr>
      <w:r>
        <w:rPr>
          <w:rFonts w:ascii="Arial" w:cs="Arial" w:eastAsia="Arial" w:hAnsi="Arial"/>
          <w:sz w:val="24"/>
          <w:szCs w:val="24"/>
        </w:rPr>
        <w:t xml:space="preserve">- проработки вопросов по строительству сортировочного комплекса при разработке месторождений Кавакского бассейна и южного региона;</w:t>
      </w:r>
    </w:p>
    <w:p>
      <w:pPr>
        <w:spacing w:after="120"/>
        <w:ind w:firstLine="567"/>
        <w:jc w:val="both"/>
      </w:pPr>
      <w:r>
        <w:rPr>
          <w:rFonts w:ascii="Arial" w:cs="Arial" w:eastAsia="Arial" w:hAnsi="Arial"/>
          <w:sz w:val="24"/>
          <w:szCs w:val="24"/>
        </w:rPr>
        <w:t xml:space="preserve">- развития производственного потенциала ГП "Кыргызкомур" с привлечением инвесторов и приобретением соответствующей горнотранспортной техники и оборудования;</w:t>
      </w:r>
    </w:p>
    <w:p>
      <w:pPr>
        <w:spacing w:after="120"/>
        <w:ind w:firstLine="567"/>
        <w:jc w:val="both"/>
      </w:pPr>
      <w:r>
        <w:rPr>
          <w:rFonts w:ascii="Arial" w:cs="Arial" w:eastAsia="Arial" w:hAnsi="Arial"/>
          <w:sz w:val="24"/>
          <w:szCs w:val="24"/>
        </w:rPr>
        <w:t xml:space="preserve">- совместной проработки вопросов с китайскими компаниями по строительству угольного логистического центра вблизи пункта пропуска "Торугарт" на кыргызко-китайской границе, а также строительства угольного логистического центра с ленточным конвейером вблизи пункта пропуска "Эркештам";</w:t>
      </w:r>
    </w:p>
    <w:p>
      <w:pPr>
        <w:spacing w:after="120"/>
        <w:ind w:firstLine="567"/>
        <w:jc w:val="both"/>
      </w:pPr>
      <w:r>
        <w:rPr>
          <w:rFonts w:ascii="Arial" w:cs="Arial" w:eastAsia="Arial" w:hAnsi="Arial"/>
          <w:sz w:val="24"/>
          <w:szCs w:val="24"/>
        </w:rPr>
        <w:t xml:space="preserve">- поддержки и поощрения предприятий, занимающихся обогащением угля, производящих кокс, бездымные угольные брикеты;</w:t>
      </w:r>
    </w:p>
    <w:p>
      <w:pPr>
        <w:spacing w:after="120"/>
        <w:ind w:firstLine="567"/>
        <w:jc w:val="both"/>
      </w:pPr>
      <w:r>
        <w:rPr>
          <w:rFonts w:ascii="Arial" w:cs="Arial" w:eastAsia="Arial" w:hAnsi="Arial"/>
          <w:sz w:val="24"/>
          <w:szCs w:val="24"/>
        </w:rPr>
        <w:t xml:space="preserve">- проведения полной цифровизации всех геологических данных страны, разработка и внедрение стандартов по хранению геологической информации на природных и искусственных носителях;</w:t>
      </w:r>
    </w:p>
    <w:p>
      <w:pPr>
        <w:spacing w:after="120"/>
        <w:ind w:firstLine="567"/>
        <w:jc w:val="both"/>
      </w:pPr>
      <w:r>
        <w:rPr>
          <w:rFonts w:ascii="Arial" w:cs="Arial" w:eastAsia="Arial" w:hAnsi="Arial"/>
          <w:sz w:val="24"/>
          <w:szCs w:val="24"/>
        </w:rPr>
        <w:t xml:space="preserve">- увеличения извлекаемых запасов нефти/газа, перевода ресурсов в запасы путем увеличения детальных геологических работ, особенно в Юго-Западной, Северо-Восточной частях Ферганской впадины, в Восточно-Чуйской, Иссык-Кульской впадинах;</w:t>
      </w:r>
    </w:p>
    <w:p>
      <w:pPr>
        <w:spacing w:after="120"/>
        <w:ind w:firstLine="567"/>
        <w:jc w:val="both"/>
      </w:pPr>
      <w:r>
        <w:rPr>
          <w:rFonts w:ascii="Arial" w:cs="Arial" w:eastAsia="Arial" w:hAnsi="Arial"/>
          <w:sz w:val="24"/>
          <w:szCs w:val="24"/>
        </w:rPr>
        <w:t xml:space="preserve">- наращивания объемов добычи руды на месторождениях Бозымчак, Иштамберди, Жамгыр и др.</w:t>
      </w:r>
    </w:p>
    <w:p>
      <w:pPr>
        <w:spacing w:after="120"/>
        <w:ind w:firstLine="567"/>
        <w:jc w:val="both"/>
      </w:pPr>
      <w:r>
        <w:rPr>
          <w:rFonts w:ascii="Arial" w:cs="Arial" w:eastAsia="Arial" w:hAnsi="Arial"/>
          <w:sz w:val="24"/>
          <w:szCs w:val="24"/>
        </w:rPr>
        <w:t xml:space="preserve">В обеспечении (снабжении) электроэнергией, газом, паром и кондиционированным воздухом (удельный вес 10,7%) на 2026 год прогнозируется прирост объемов на 5,1%.</w:t>
      </w:r>
    </w:p>
    <w:p>
      <w:pPr>
        <w:spacing w:after="120"/>
        <w:ind w:firstLine="567"/>
        <w:jc w:val="both"/>
      </w:pPr>
      <w:r>
        <w:rPr>
          <w:rFonts w:ascii="Arial" w:cs="Arial" w:eastAsia="Arial" w:hAnsi="Arial"/>
          <w:sz w:val="24"/>
          <w:szCs w:val="24"/>
        </w:rPr>
        <w:t xml:space="preserve">Расчет прогнозных показателей выполнен за счет увеличения выработки электроэнергии с учетом роста внутреннего потребления электроэнергии. Выработка электроэнергии на 2026 год прогнозируется в объеме 15297,7 млн. кВтч, что больше на 466,3 млн. кВтч по сравнению с ожидаемым в 2025 году. В 2026 году увеличение общей планируемой мощности 163,2 МВт (в том числе МГЭС 154,2 МВт) прогнозируется за счет реконструкции второго гидроагрегата Уч-Курганской ГЭС, где мощность увеличивается на 9 МВт. Также планируется ввод в эксплуатацию 12 малых гидроэлектростанций. При этом для полного удовлетворения потребности секторов экономики и населения запланирован импорт недостающего объема электроэнергии в количестве 3700 млн. кВтч.</w:t>
      </w:r>
    </w:p>
    <w:p>
      <w:pPr>
        <w:spacing w:after="120"/>
        <w:ind w:firstLine="567"/>
        <w:jc w:val="both"/>
      </w:pPr>
      <w:r>
        <w:rPr>
          <w:rFonts w:ascii="Arial" w:cs="Arial" w:eastAsia="Arial" w:hAnsi="Arial"/>
          <w:sz w:val="24"/>
          <w:szCs w:val="24"/>
        </w:rPr>
        <w:t xml:space="preserve">Рост выработки тепловой энергии прогнозируется на уровне 3,5% (3300 тыс. Гкал) и зависит от климатических условий прогнозируемого периода.</w:t>
      </w:r>
    </w:p>
    <w:p>
      <w:pPr>
        <w:spacing w:after="120"/>
        <w:ind w:firstLine="567"/>
        <w:jc w:val="both"/>
      </w:pPr>
      <w:r>
        <w:rPr>
          <w:rFonts w:ascii="Arial" w:cs="Arial" w:eastAsia="Arial" w:hAnsi="Arial"/>
          <w:sz w:val="24"/>
          <w:szCs w:val="24"/>
        </w:rPr>
        <w:t xml:space="preserve">Рост объема производства газа, распределения газообразного топлива через системы газоснабжения прогнозируется на уровне 8,0% за счет увеличения объемов распределения природного газа. В соответствии с Соглашением между Кыргызской Республикой и Российской Федерацией о сотрудничестве в сфере транспортировки, распределения и реализации природного газа на территории Кыргызской Республики, подписанным 26 июля 2013 года, российская сторона гарантирует бесперебойную поставку природного газа для потребителей с учетом имеющихся технических возможностей и условий для транзита природного газа в Кыргызскую Республику, а также гарантированную поставку природного газа в объемах, предусмотренных заключенными контрактами. ОсОО "Газпром Кыргызстан" ежегодно разрабатывает и утверждает инвестиционные программы, в рамках которых производятся мероприятия по газификации регионов республики. 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120"/>
        <w:ind w:firstLine="567"/>
        <w:jc w:val="both"/>
      </w:pPr>
      <w:r>
        <w:rPr>
          <w:rFonts w:ascii="Arial" w:cs="Arial" w:eastAsia="Arial" w:hAnsi="Arial"/>
          <w:sz w:val="24"/>
          <w:szCs w:val="24"/>
        </w:rPr>
        <w:t xml:space="preserve">Водоснабжение, очистка, обработка отходов и получение вторичного сырья в структуре промышленности имеют незначительный удельный вес (0,9%), где прогнозируется реальный рост на уровне 4,4% за счет роста объемов сбора, обработки и распределения воды (водоснабжение) на 4,8%, сбора, обработки и уничтожения отходов, получения вторичного сырья - на 2,5% и проведения обеззараживания и прочей обработки отходов - на 5%.</w:t>
      </w:r>
    </w:p>
    <w:p>
      <w:pPr>
        <w:spacing w:after="120"/>
        <w:ind w:firstLine="567"/>
        <w:jc w:val="both"/>
      </w:pPr>
      <w:r>
        <w:rPr>
          <w:rFonts w:ascii="Arial" w:cs="Arial" w:eastAsia="Arial" w:hAnsi="Arial"/>
          <w:sz w:val="24"/>
          <w:szCs w:val="24"/>
        </w:rPr>
        <w:t xml:space="preserve">Рост физического объема промышленной продукции в 2026 году прогнозируется достичь во всех регионах республики. Основной вклад в объем промышленного производства традиционно внесут: Чуйская (48,0%), Иссык-Кульская (15,2%), Джалал-Абадская (9,4%) области и г.Бишкек (14,8%), суммарная доля которых составит 87,4%. В Иссык-Кульской и Чуйской областях рост объемов производства промышленной продукции прогнозируется за счет стабильной работы предприятий по разработке месторождения Кумтор, Талды-Булак-Левобережный и наращивания объемов производства нефтеперерабатывающего завода "Джунда", в Джалал-Абадской области - наращивания объемов производства на месторождениях Бозымчак, Иштамберди, Терексай и увеличения объемов производства электроэнергии.</w:t>
      </w:r>
    </w:p>
    <w:p>
      <w:pPr>
        <w:spacing w:after="12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w:t>
      </w:r>
    </w:p>
    <w:p>
      <w:pPr>
        <w:spacing w:after="120"/>
        <w:ind w:firstLine="567"/>
        <w:jc w:val="both"/>
      </w:pPr>
      <w:r>
        <w:rPr>
          <w:rFonts w:ascii="Arial" w:cs="Arial" w:eastAsia="Arial" w:hAnsi="Arial"/>
          <w:sz w:val="24"/>
          <w:szCs w:val="24"/>
        </w:rPr>
        <w:t xml:space="preserve">- продолжение сложившейся геополитической ситуации, санкционной конфронтации, разрушающей цепочки поставок, которые приводят к удорожанию себестоимости при построении новой логистики;</w:t>
      </w:r>
    </w:p>
    <w:p>
      <w:pPr>
        <w:spacing w:after="120"/>
        <w:ind w:firstLine="567"/>
        <w:jc w:val="both"/>
      </w:pPr>
      <w:r>
        <w:rPr>
          <w:rFonts w:ascii="Arial" w:cs="Arial" w:eastAsia="Arial" w:hAnsi="Arial"/>
          <w:sz w:val="24"/>
          <w:szCs w:val="24"/>
        </w:rPr>
        <w:t xml:space="preserve">- волатильность рыночной конъюнктуры;</w:t>
      </w:r>
    </w:p>
    <w:p>
      <w:pPr>
        <w:spacing w:after="120"/>
        <w:ind w:firstLine="567"/>
        <w:jc w:val="both"/>
      </w:pPr>
      <w:r>
        <w:rPr>
          <w:rFonts w:ascii="Arial" w:cs="Arial" w:eastAsia="Arial" w:hAnsi="Arial"/>
          <w:sz w:val="24"/>
          <w:szCs w:val="24"/>
        </w:rPr>
        <w:t xml:space="preserve">- снижение экономической активности в странах - основных торговых партнеров, которые могут привести к сокращению спроса на традиционную поставляемую продукцию, услуги, являющиеся источником доходов, снижению экспортных цен;</w:t>
      </w:r>
    </w:p>
    <w:p>
      <w:pPr>
        <w:spacing w:after="120"/>
        <w:ind w:firstLine="567"/>
        <w:jc w:val="both"/>
      </w:pPr>
      <w:r>
        <w:rPr>
          <w:rFonts w:ascii="Arial" w:cs="Arial" w:eastAsia="Arial" w:hAnsi="Arial"/>
          <w:sz w:val="24"/>
          <w:szCs w:val="24"/>
        </w:rPr>
        <w:t xml:space="preserve">- непредсказуемые меры регулирования в сферах законодательства;</w:t>
      </w:r>
    </w:p>
    <w:p>
      <w:pPr>
        <w:spacing w:after="120"/>
        <w:ind w:firstLine="567"/>
        <w:jc w:val="both"/>
      </w:pPr>
      <w:r>
        <w:rPr>
          <w:rFonts w:ascii="Arial" w:cs="Arial" w:eastAsia="Arial" w:hAnsi="Arial"/>
          <w:sz w:val="24"/>
          <w:szCs w:val="24"/>
        </w:rPr>
        <w:t xml:space="preserve">- недостаток оборотных средств для развития;</w:t>
      </w:r>
    </w:p>
    <w:p>
      <w:pPr>
        <w:spacing w:after="120"/>
        <w:ind w:firstLine="567"/>
        <w:jc w:val="both"/>
      </w:pPr>
      <w:r>
        <w:rPr>
          <w:rFonts w:ascii="Arial" w:cs="Arial" w:eastAsia="Arial" w:hAnsi="Arial"/>
          <w:sz w:val="24"/>
          <w:szCs w:val="24"/>
        </w:rPr>
        <w:t xml:space="preserve">- инвестиционная непривлекательность предприятий промышленной отрасли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w:t>
      </w:r>
    </w:p>
    <w:p>
      <w:pPr>
        <w:spacing w:after="120"/>
        <w:ind w:firstLine="567"/>
        <w:jc w:val="both"/>
      </w:pPr>
      <w:r>
        <w:rPr>
          <w:rFonts w:ascii="Arial" w:cs="Arial" w:eastAsia="Arial" w:hAnsi="Arial"/>
          <w:sz w:val="24"/>
          <w:szCs w:val="24"/>
        </w:rPr>
        <w:t xml:space="preserve">- перебои в подаче электроэнергии;</w:t>
      </w:r>
    </w:p>
    <w:p>
      <w:pPr>
        <w:spacing w:after="120"/>
        <w:ind w:firstLine="567"/>
        <w:jc w:val="both"/>
      </w:pPr>
      <w:r>
        <w:rPr>
          <w:rFonts w:ascii="Arial" w:cs="Arial" w:eastAsia="Arial" w:hAnsi="Arial"/>
          <w:sz w:val="24"/>
          <w:szCs w:val="24"/>
        </w:rPr>
        <w:t xml:space="preserve">- несвоевременный ввод запланированных предприятий, месторождений, невыполнение заложенных ожидаемых объемов производства из-за техногенных факторов; необеспеченность сырьем, перебои в обеспечении источниками финансирования запланированных капитальных вложений;</w:t>
      </w:r>
    </w:p>
    <w:p>
      <w:pPr>
        <w:spacing w:after="120"/>
        <w:ind w:firstLine="567"/>
        <w:jc w:val="both"/>
      </w:pPr>
      <w:r>
        <w:rPr>
          <w:rFonts w:ascii="Arial" w:cs="Arial" w:eastAsia="Arial" w:hAnsi="Arial"/>
          <w:sz w:val="24"/>
          <w:szCs w:val="24"/>
        </w:rPr>
        <w:t xml:space="preserve">- неэффективный менеджмент; недостаток квалифицированных кадров технических специальностей;</w:t>
      </w:r>
    </w:p>
    <w:p>
      <w:pPr>
        <w:spacing w:after="120"/>
        <w:ind w:firstLine="567"/>
        <w:jc w:val="both"/>
      </w:pPr>
      <w:r>
        <w:rPr>
          <w:rFonts w:ascii="Arial" w:cs="Arial" w:eastAsia="Arial" w:hAnsi="Arial"/>
          <w:sz w:val="24"/>
          <w:szCs w:val="24"/>
        </w:rPr>
        <w:t xml:space="preserve">- неэффективное использование имущества; повышение активности конкурентов.</w:t>
      </w:r>
    </w:p>
    <w:p>
      <w:pPr>
        <w:spacing w:after="120"/>
        <w:ind w:firstLine="567"/>
        <w:jc w:val="both"/>
      </w:pPr>
      <w:r>
        <w:rPr>
          <w:rFonts w:ascii="Arial" w:cs="Arial" w:eastAsia="Arial" w:hAnsi="Arial"/>
          <w:b/>
          <w:bCs/>
          <w:sz w:val="24"/>
          <w:szCs w:val="24"/>
        </w:rPr>
        <w:t xml:space="preserve">1.3. Строительство</w:t>
      </w:r>
    </w:p>
    <w:p>
      <w:pPr>
        <w:spacing w:after="120"/>
        <w:ind w:firstLine="567"/>
        <w:jc w:val="both"/>
      </w:pPr>
      <w:r>
        <w:rPr>
          <w:rFonts w:ascii="Arial" w:cs="Arial" w:eastAsia="Arial" w:hAnsi="Arial"/>
          <w:sz w:val="24"/>
          <w:szCs w:val="24"/>
        </w:rPr>
        <w:t xml:space="preserve">Государственная политика и государственное регулирование градостроительного развития, определение перспектив развития строительной отрасли будут проводиться в рамках реализации </w:t>
      </w:r>
      <w:hyperlink w:history="1" r:id="rIdaifamk80nfawe_hloo5bu">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строительной отрасли Кыргызской Республики на 2020-2030 годы, утвержденной </w:t>
      </w:r>
      <w:hyperlink w:history="1" r:id="rIdoapkz9baks2mmh00txf4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Стратегии развития строительной отрасли Кыргызской Республики на 2020-2030 годы" от 17 января 2020 года № 14.</w:t>
      </w:r>
    </w:p>
    <w:p>
      <w:pPr>
        <w:spacing w:after="120"/>
        <w:ind w:firstLine="567"/>
        <w:jc w:val="both"/>
      </w:pPr>
      <w:r>
        <w:rPr>
          <w:rFonts w:ascii="Arial" w:cs="Arial" w:eastAsia="Arial" w:hAnsi="Arial"/>
          <w:sz w:val="24"/>
          <w:szCs w:val="24"/>
        </w:rPr>
        <w:t xml:space="preserve">Приоритетными направлениями будут:</w:t>
      </w:r>
    </w:p>
    <w:p>
      <w:pPr>
        <w:spacing w:after="120"/>
        <w:ind w:firstLine="567"/>
        <w:jc w:val="both"/>
      </w:pPr>
      <w:r>
        <w:rPr>
          <w:rFonts w:ascii="Arial" w:cs="Arial" w:eastAsia="Arial" w:hAnsi="Arial"/>
          <w:sz w:val="24"/>
          <w:szCs w:val="24"/>
        </w:rPr>
        <w:t xml:space="preserve">- развитие производственного потенциала в строительстве и производство строительных материалов, изделий и конструкций;</w:t>
      </w:r>
    </w:p>
    <w:p>
      <w:pPr>
        <w:spacing w:after="120"/>
        <w:ind w:firstLine="567"/>
        <w:jc w:val="both"/>
      </w:pPr>
      <w:r>
        <w:rPr>
          <w:rFonts w:ascii="Arial" w:cs="Arial" w:eastAsia="Arial" w:hAnsi="Arial"/>
          <w:sz w:val="24"/>
          <w:szCs w:val="24"/>
        </w:rPr>
        <w:t xml:space="preserve">- рациональное и сбалансированное природопользование;</w:t>
      </w:r>
    </w:p>
    <w:p>
      <w:pPr>
        <w:spacing w:after="120"/>
        <w:ind w:firstLine="567"/>
        <w:jc w:val="both"/>
      </w:pPr>
      <w:r>
        <w:rPr>
          <w:rFonts w:ascii="Arial" w:cs="Arial" w:eastAsia="Arial" w:hAnsi="Arial"/>
          <w:sz w:val="24"/>
          <w:szCs w:val="24"/>
        </w:rPr>
        <w:t xml:space="preserve">- обеспечение населения жильем, объектами образования, здравоохранения, культуры и спорта;</w:t>
      </w:r>
    </w:p>
    <w:p>
      <w:pPr>
        <w:spacing w:after="120"/>
        <w:ind w:firstLine="567"/>
        <w:jc w:val="both"/>
      </w:pPr>
      <w:r>
        <w:rPr>
          <w:rFonts w:ascii="Arial" w:cs="Arial" w:eastAsia="Arial" w:hAnsi="Arial"/>
          <w:sz w:val="24"/>
          <w:szCs w:val="24"/>
        </w:rPr>
        <w:t xml:space="preserve">- обеспечение культурного и национального своеобразия в архитектуре и строительстве;</w:t>
      </w:r>
    </w:p>
    <w:p>
      <w:pPr>
        <w:spacing w:after="120"/>
        <w:ind w:firstLine="567"/>
        <w:jc w:val="both"/>
      </w:pPr>
      <w:r>
        <w:rPr>
          <w:rFonts w:ascii="Arial" w:cs="Arial" w:eastAsia="Arial" w:hAnsi="Arial"/>
          <w:sz w:val="24"/>
          <w:szCs w:val="24"/>
        </w:rPr>
        <w:t xml:space="preserve">- регулирование инновационных направлений науки, техники и технологий в строительстве;</w:t>
      </w:r>
    </w:p>
    <w:p>
      <w:pPr>
        <w:spacing w:after="120"/>
        <w:ind w:firstLine="567"/>
        <w:jc w:val="both"/>
      </w:pPr>
      <w:r>
        <w:rPr>
          <w:rFonts w:ascii="Arial" w:cs="Arial" w:eastAsia="Arial" w:hAnsi="Arial"/>
          <w:sz w:val="24"/>
          <w:szCs w:val="24"/>
        </w:rPr>
        <w:t xml:space="preserve">- координация деятельности государственных органов, органов местного самоуправления и территориальных органов архитектуры и градостроительства, в части градостроительного развития, обустройства и благоустройства территорий населенных пунктов.</w:t>
      </w:r>
    </w:p>
    <w:p>
      <w:pPr>
        <w:spacing w:after="120"/>
        <w:ind w:firstLine="567"/>
        <w:jc w:val="both"/>
      </w:pPr>
      <w:r>
        <w:rPr>
          <w:rFonts w:ascii="Arial" w:cs="Arial" w:eastAsia="Arial" w:hAnsi="Arial"/>
          <w:sz w:val="24"/>
          <w:szCs w:val="24"/>
        </w:rPr>
        <w:t xml:space="preserve">Кроме того, планируется работа по следующим направлениям: развитие инфраструктуры в регионах за счет строительства объектов социально-культурного назначения; разработка дорожной карты для внедрения BIM-технологий в строительную отрасль Кыргызской Республики; внедрение единой системы управления государственной строительной отраслью.</w:t>
      </w:r>
    </w:p>
    <w:p>
      <w:pPr>
        <w:spacing w:after="120"/>
        <w:ind w:firstLine="567"/>
        <w:jc w:val="both"/>
      </w:pPr>
      <w:r>
        <w:rPr>
          <w:rFonts w:ascii="Arial" w:cs="Arial" w:eastAsia="Arial" w:hAnsi="Arial"/>
          <w:sz w:val="24"/>
          <w:szCs w:val="24"/>
        </w:rPr>
        <w:t xml:space="preserve">Развитие строительной отрасли является одним из важных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секторе прогнозируется увеличение капитальных вложений на 18,4%, объемы которых составят 392,6 млрд. сомов.</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Динамика темпов роста в строительной отрасли на 2025-2026 годы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0"/>
        <w:gridCol w:w="1444"/>
        <w:gridCol w:w="1444"/>
        <w:gridCol w:w="1346"/>
        <w:gridCol w:w="1346"/>
      </w:tblGrid>
      <w:tr>
        <w:tc>
          <w:tcPr>
            <w:tcW w:type="dxa" w:w="46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8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26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313318,5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392561,5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251172,1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317594,1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62146,4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74967,4</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360380,2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445835,7</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Структура капитальных вложений, относительно ожидаемых в 2025 году, изменится в сторону увеличения доли внутренних инвестиций с 80,2% до 81,0% (основную долю занимают средства предприятий, организаций и населения, составляющие около 70%) и снижения доли внешних инвестиций с 19,8% до 19,1%.</w:t>
      </w:r>
    </w:p>
    <w:p>
      <w:pPr>
        <w:spacing w:after="12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120"/>
        <w:ind w:firstLine="567"/>
        <w:jc w:val="both"/>
      </w:pPr>
      <w:r>
        <w:rPr>
          <w:rFonts w:ascii="Arial" w:cs="Arial" w:eastAsia="Arial" w:hAnsi="Arial"/>
          <w:sz w:val="24"/>
          <w:szCs w:val="24"/>
        </w:rPr>
        <w:t xml:space="preserve">Ожидается поступление финансовых средств за счет капитальных вложений из республиканского бюджета в сумме 10 млрд. сомов, которые в первую очередь будут направлены на завершение ранее начатых объектов строительства и их сдачу в эксплуатацию, развитие автомобильных дорог стратегического значения и автодорог, находящихся в приграничных районах республики в целом, в соответствии с государственной программой строительства водохозяйственных сооружений, ирригационных каналов, что позволит осваивать значительные площади новых орошаемых земель в регионах страны, и на другие объекты строительства и реконструкции с учетом концепции регионального развития и отраслевых экономических программ.</w:t>
      </w:r>
    </w:p>
    <w:p>
      <w:pPr>
        <w:spacing w:after="120"/>
        <w:ind w:firstLine="567"/>
        <w:jc w:val="both"/>
      </w:pPr>
      <w:r>
        <w:rPr>
          <w:rFonts w:ascii="Arial" w:cs="Arial" w:eastAsia="Arial" w:hAnsi="Arial"/>
          <w:sz w:val="24"/>
          <w:szCs w:val="24"/>
        </w:rPr>
        <w:t xml:space="preserve">При этом средства из республиканского бюджета по статье "Капитальные вложения" могут возрасти в два раза за счет ежегодного внесения изменений и дополнений в республиканский бюджет для удовлетворения потребности развития секторов экономики.</w:t>
      </w:r>
    </w:p>
    <w:p>
      <w:pPr>
        <w:spacing w:after="12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136,3 млрд. сомов будут сформированы за счет инвестиций ЗАО "Кумтор Голд Компани" (30,8 млрд. сомов), ОАО "Кыргызалтын" и других.</w:t>
      </w:r>
    </w:p>
    <w:p>
      <w:pPr>
        <w:spacing w:after="120"/>
        <w:ind w:firstLine="567"/>
        <w:jc w:val="both"/>
      </w:pPr>
      <w:r>
        <w:rPr>
          <w:rFonts w:ascii="Arial" w:cs="Arial" w:eastAsia="Arial" w:hAnsi="Arial"/>
          <w:sz w:val="24"/>
          <w:szCs w:val="24"/>
        </w:rPr>
        <w:t xml:space="preserve">В 2026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12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9,5 млрд. сомов (23,2% от всех государственных инвестиций), которые ожидаются за счет проекта "Реабилитация автодороги Тараз - Талас - Суусамыр, Фаза 4, км 104,6-197,6" (2,5 млрд. сомов - АКГ, ИБР), проекта реабилитации кольцевой автодороги Балыкчы - Каракол - Балыкчы (уч. Корумду - Балбай Баатыр) (2,1 млрд. сомов - АКГ, ИБР, СФР, КФАЭР, ОПЕК), проекта "Соединительной дороги, коридоры ЦАРЭС 1 и ЦАРЭС 3" (391,4 млн. сомов - АБР), проекта по улучшению Иссык-Кульской кольцевой автодороги (участок Барскоон - Каракол) (2,0 млрд. сомов - АБР), реабилитация автомобильной дороги Арал-Суусамыр (887,5 млн. сомов - ЕАБР), третья фаза Программы по улучшению региональных путей сообщения в Центральной Азии (ПУРПС ЦА-3) (1 млрд. сомов - ВБ), проектов "Улучшение основных международных дорог" (103,2 млн. сомов - JICA) и других, в дальнейшем обеспечат растущие потребности в пассажирских и грузовых перевозках.</w:t>
      </w:r>
    </w:p>
    <w:p>
      <w:pPr>
        <w:spacing w:after="12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7,6 млрд. сомов (18,4% от всех государственных инвестиций), которые ожидаются за счет реализации проектов: "Ввод в эксплуатации второго гидроагрегата Камбаратинской ГЭС-2" (2,9 млрд. сомов - ЕАБР), "Реабилитация Токтогульской ГЭС, Фаза II" (841,2 млн. сомов - АБР, ЕАБР), "Реабилитация Токтогульской ГЭС, Фаза III" (568,5 млн. сомов - АБР), "Модернизация Уч-Курганской ГЭС" (2,0 млрд. сомов - АБР), "Модернизация и устойчивое развитие электроэнергетического сектора" (684,2 млн. сомов - ВБ, SECO), "Реконструкция Лебединовской ГЭС" (452,5 млн. сомов - ЕАБР), строительство Каракульской ГЭС мощностью 18 МВт, строительство Куланакской ГЭС мощностью 100 МВт и других.</w:t>
      </w:r>
    </w:p>
    <w:p>
      <w:pPr>
        <w:spacing w:after="120"/>
        <w:ind w:firstLine="567"/>
        <w:jc w:val="both"/>
      </w:pPr>
      <w:r>
        <w:rPr>
          <w:rFonts w:ascii="Arial" w:cs="Arial" w:eastAsia="Arial" w:hAnsi="Arial"/>
          <w:sz w:val="24"/>
          <w:szCs w:val="24"/>
        </w:rPr>
        <w:t xml:space="preserve">В 2026 году планируется завершение строительства малой гидроэлектростанции на Орто-Токойском водохранилище Иссык-Кульской области, с общим объемом инвестиций около 36 млн. долл. США. Проектная мощность станции составит 21 МВт, а среднегодовая выработка - 75 млн. кВт·ч. Генеральным подрядчиком выступает китайская компания CHMC (China National Heavy Machinery Corporation). Завершение работ запланировано на первое полугодие 2026 года.</w:t>
      </w:r>
    </w:p>
    <w:p>
      <w:pPr>
        <w:spacing w:after="120"/>
        <w:ind w:firstLine="567"/>
        <w:jc w:val="both"/>
      </w:pPr>
      <w:r>
        <w:rPr>
          <w:rFonts w:ascii="Arial" w:cs="Arial" w:eastAsia="Arial" w:hAnsi="Arial"/>
          <w:sz w:val="24"/>
          <w:szCs w:val="24"/>
        </w:rPr>
        <w:t xml:space="preserve">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120"/>
        <w:ind w:firstLine="567"/>
        <w:jc w:val="both"/>
      </w:pPr>
      <w:r>
        <w:rPr>
          <w:rFonts w:ascii="Arial" w:cs="Arial" w:eastAsia="Arial" w:hAnsi="Arial"/>
          <w:sz w:val="24"/>
          <w:szCs w:val="24"/>
        </w:rPr>
        <w:t xml:space="preserve">В области улучшения туристического потенциала страны в 2026 году планируется завершение следующих проектов:</w:t>
      </w:r>
    </w:p>
    <w:p>
      <w:pPr>
        <w:spacing w:after="120"/>
        <w:ind w:firstLine="567"/>
        <w:jc w:val="both"/>
      </w:pPr>
      <w:r>
        <w:rPr>
          <w:rFonts w:ascii="Arial" w:cs="Arial" w:eastAsia="Arial" w:hAnsi="Arial"/>
          <w:sz w:val="24"/>
          <w:szCs w:val="24"/>
        </w:rPr>
        <w:t xml:space="preserve">- в мае 2025 года в Ак-Сууйском районе Иссык-Кульской области начнется строительство масштабного горнолыжного курорта "Три вершины", который станет крупнейшим в Центральной Азии. Завершение первого этапа проекта "Три вершины" запланировано на декабрь 2026 года, после чего курорт сможет принять первых туристов. Проект включает три зоны - Жыргалан, Бозучук и Ак-Булак, а общая протяженность трасс составит 250 км, из которых 120 км будут расположены в Жыргалане;</w:t>
      </w:r>
    </w:p>
    <w:p>
      <w:pPr>
        <w:spacing w:after="120"/>
        <w:ind w:firstLine="567"/>
        <w:jc w:val="both"/>
      </w:pPr>
      <w:r>
        <w:rPr>
          <w:rFonts w:ascii="Arial" w:cs="Arial" w:eastAsia="Arial" w:hAnsi="Arial"/>
          <w:sz w:val="24"/>
          <w:szCs w:val="24"/>
        </w:rPr>
        <w:t xml:space="preserve">- строительство трехзвездочных отелей, состоящих из восьми корпусов. Четырех- и пятизвездочные гостиницы планируется возводить с привлечением инвесторов. На первом этапе в Жыргалане построят 49 отелей, объединенных в этно-городок, в котором будут гостиницы трех, четырех и пяти звезд. Самое высокое здание комплекса достигнет шести этажей. Курорт будет доступен как для туристов среднего класса, так и для состоятельных гостей;</w:t>
      </w:r>
    </w:p>
    <w:p>
      <w:pPr>
        <w:spacing w:after="120"/>
        <w:ind w:firstLine="567"/>
        <w:jc w:val="both"/>
      </w:pPr>
      <w:r>
        <w:rPr>
          <w:rFonts w:ascii="Arial" w:cs="Arial" w:eastAsia="Arial" w:hAnsi="Arial"/>
          <w:sz w:val="24"/>
          <w:szCs w:val="24"/>
        </w:rPr>
        <w:t xml:space="preserve">- строительство пятизвездочного отеля на Иссык-Куле, реализуемое азербайджанской стороной, началось в октябре 2023 года и планируется завершить к октябрю 2026 года. Объект будет расположен в селе Кара-Ой и будет отвечать всем требованиям времени.</w:t>
      </w:r>
    </w:p>
    <w:p>
      <w:pPr>
        <w:spacing w:after="120"/>
        <w:ind w:firstLine="567"/>
        <w:jc w:val="both"/>
      </w:pPr>
      <w:r>
        <w:rPr>
          <w:rFonts w:ascii="Arial" w:cs="Arial" w:eastAsia="Arial" w:hAnsi="Arial"/>
          <w:sz w:val="24"/>
          <w:szCs w:val="24"/>
        </w:rPr>
        <w:t xml:space="preserve">Объемы прямых иностранных инвестиций в сумме 22,9 млрд. сомов прогнозируются за счет капитальных вложений:</w:t>
      </w:r>
    </w:p>
    <w:p>
      <w:pPr>
        <w:spacing w:after="120"/>
        <w:ind w:firstLine="567"/>
        <w:jc w:val="both"/>
      </w:pPr>
      <w:r>
        <w:rPr>
          <w:rFonts w:ascii="Arial" w:cs="Arial" w:eastAsia="Arial" w:hAnsi="Arial"/>
          <w:sz w:val="24"/>
          <w:szCs w:val="24"/>
        </w:rPr>
        <w:t xml:space="preserve">- ОсОО "KAZ Minerals Bozymchak" (448,8 млн. сомов);</w:t>
      </w:r>
    </w:p>
    <w:p>
      <w:pPr>
        <w:spacing w:after="120"/>
        <w:ind w:firstLine="567"/>
        <w:jc w:val="both"/>
      </w:pPr>
      <w:r>
        <w:rPr>
          <w:rFonts w:ascii="Arial" w:cs="Arial" w:eastAsia="Arial" w:hAnsi="Arial"/>
          <w:sz w:val="24"/>
          <w:szCs w:val="24"/>
        </w:rPr>
        <w:t xml:space="preserve">- ОсОО "Full gold mining" (1245,2 млн. сомов);</w:t>
      </w:r>
    </w:p>
    <w:p>
      <w:pPr>
        <w:spacing w:after="120"/>
        <w:ind w:firstLine="567"/>
        <w:jc w:val="both"/>
      </w:pPr>
      <w:r>
        <w:rPr>
          <w:rFonts w:ascii="Arial" w:cs="Arial" w:eastAsia="Arial" w:hAnsi="Arial"/>
          <w:sz w:val="24"/>
          <w:szCs w:val="24"/>
        </w:rPr>
        <w:t xml:space="preserve">- ЗАО "Чаарат Заав" (4945,6 млн. сомов);</w:t>
      </w:r>
    </w:p>
    <w:p>
      <w:pPr>
        <w:spacing w:after="120"/>
        <w:ind w:firstLine="567"/>
        <w:jc w:val="both"/>
      </w:pPr>
      <w:r>
        <w:rPr>
          <w:rFonts w:ascii="Arial" w:cs="Arial" w:eastAsia="Arial" w:hAnsi="Arial"/>
          <w:sz w:val="24"/>
          <w:szCs w:val="24"/>
        </w:rPr>
        <w:t xml:space="preserve">- ОсОО "Альянс Алтын" (3931,0 млн. сомов);</w:t>
      </w:r>
    </w:p>
    <w:p>
      <w:pPr>
        <w:spacing w:after="120"/>
        <w:ind w:firstLine="567"/>
        <w:jc w:val="both"/>
      </w:pPr>
      <w:r>
        <w:rPr>
          <w:rFonts w:ascii="Arial" w:cs="Arial" w:eastAsia="Arial" w:hAnsi="Arial"/>
          <w:sz w:val="24"/>
          <w:szCs w:val="24"/>
        </w:rPr>
        <w:t xml:space="preserve">- ОсОО "Газпром Кыргызстан" (1000,0 млн. сомов);</w:t>
      </w:r>
    </w:p>
    <w:p>
      <w:pPr>
        <w:spacing w:after="120"/>
        <w:ind w:firstLine="567"/>
        <w:jc w:val="both"/>
      </w:pPr>
      <w:r>
        <w:rPr>
          <w:rFonts w:ascii="Arial" w:cs="Arial" w:eastAsia="Arial" w:hAnsi="Arial"/>
          <w:sz w:val="24"/>
          <w:szCs w:val="24"/>
        </w:rPr>
        <w:t xml:space="preserve">- и др.</w:t>
      </w:r>
    </w:p>
    <w:p>
      <w:pPr>
        <w:spacing w:after="120"/>
        <w:ind w:firstLine="567"/>
        <w:jc w:val="both"/>
      </w:pPr>
      <w:r>
        <w:rPr>
          <w:rFonts w:ascii="Arial" w:cs="Arial" w:eastAsia="Arial" w:hAnsi="Arial"/>
          <w:sz w:val="24"/>
          <w:szCs w:val="24"/>
        </w:rPr>
        <w:t xml:space="preserve">В целом, в рамках Стратегии развития строительной отрасли Кыргызской Республики на 2020-2030 годы будет продолжена оптимизация градостроительного законодательства, разработка механизмов изъятия земельных участков и сноса объектов недвижимости для государственно-общественных нужд, приведение в соответствие земельного законодательства с действующими нормативными правовыми актами.</w:t>
      </w:r>
    </w:p>
    <w:p>
      <w:pPr>
        <w:spacing w:after="120"/>
        <w:ind w:firstLine="567"/>
        <w:jc w:val="both"/>
      </w:pPr>
      <w:r>
        <w:rPr>
          <w:rFonts w:ascii="Arial" w:cs="Arial" w:eastAsia="Arial" w:hAnsi="Arial"/>
          <w:sz w:val="24"/>
          <w:szCs w:val="24"/>
        </w:rPr>
        <w:t xml:space="preserve">Помимо этого, будет продолжено совершенствование проведения государственных закупок в сфере архитектурной и строительной отрасли в части сокращения количества объектов незавершенного строительства и совершенствование сметно-нормативной базы.</w:t>
      </w:r>
    </w:p>
    <w:p>
      <w:pPr>
        <w:spacing w:after="120"/>
        <w:ind w:firstLine="567"/>
        <w:jc w:val="both"/>
      </w:pPr>
      <w:r>
        <w:rPr>
          <w:rFonts w:ascii="Arial" w:cs="Arial" w:eastAsia="Arial" w:hAnsi="Arial"/>
          <w:sz w:val="24"/>
          <w:szCs w:val="24"/>
        </w:rPr>
        <w:t xml:space="preserve">В связи с чем ожидаются следующие результаты:</w:t>
      </w:r>
    </w:p>
    <w:p>
      <w:pPr>
        <w:spacing w:after="120"/>
        <w:ind w:firstLine="567"/>
        <w:jc w:val="both"/>
      </w:pPr>
      <w:r>
        <w:rPr>
          <w:rFonts w:ascii="Arial" w:cs="Arial" w:eastAsia="Arial" w:hAnsi="Arial"/>
          <w:sz w:val="24"/>
          <w:szCs w:val="24"/>
        </w:rPr>
        <w:t xml:space="preserve">- повышение эффективности капитальных вложений;</w:t>
      </w:r>
    </w:p>
    <w:p>
      <w:pPr>
        <w:spacing w:after="120"/>
        <w:ind w:firstLine="567"/>
        <w:jc w:val="both"/>
      </w:pPr>
      <w:r>
        <w:rPr>
          <w:rFonts w:ascii="Arial" w:cs="Arial" w:eastAsia="Arial" w:hAnsi="Arial"/>
          <w:sz w:val="24"/>
          <w:szCs w:val="24"/>
        </w:rPr>
        <w:t xml:space="preserve">- внедрение энергоэффективных и ресурсосберегающих технологий;</w:t>
      </w:r>
    </w:p>
    <w:p>
      <w:pPr>
        <w:spacing w:after="120"/>
        <w:ind w:firstLine="567"/>
        <w:jc w:val="both"/>
      </w:pPr>
      <w:r>
        <w:rPr>
          <w:rFonts w:ascii="Arial" w:cs="Arial" w:eastAsia="Arial" w:hAnsi="Arial"/>
          <w:sz w:val="24"/>
          <w:szCs w:val="24"/>
        </w:rPr>
        <w:t xml:space="preserve">- оптимизация ценообразования в строительстве и ЖКХ;</w:t>
      </w:r>
    </w:p>
    <w:p>
      <w:pPr>
        <w:spacing w:after="120"/>
        <w:ind w:firstLine="567"/>
        <w:jc w:val="both"/>
      </w:pPr>
      <w:r>
        <w:rPr>
          <w:rFonts w:ascii="Arial" w:cs="Arial" w:eastAsia="Arial" w:hAnsi="Arial"/>
          <w:sz w:val="24"/>
          <w:szCs w:val="24"/>
        </w:rPr>
        <w:t xml:space="preserve">- повышение требования к безопасности зданий и сооружений;</w:t>
      </w:r>
    </w:p>
    <w:p>
      <w:pPr>
        <w:spacing w:after="120"/>
        <w:ind w:firstLine="567"/>
        <w:jc w:val="both"/>
      </w:pPr>
      <w:r>
        <w:rPr>
          <w:rFonts w:ascii="Arial" w:cs="Arial" w:eastAsia="Arial" w:hAnsi="Arial"/>
          <w:sz w:val="24"/>
          <w:szCs w:val="24"/>
        </w:rPr>
        <w:t xml:space="preserve">- обеспечение градостроительной документации.</w:t>
      </w:r>
    </w:p>
    <w:p>
      <w:pPr>
        <w:spacing w:after="12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2026 год прогнозируется на уровне 16,6% и составит 445,8 млрд. сомов. Влияние строительной отрасли на темпы экономического роста будет положительным и составит 1,48 п.п., удельный вес строительства в структуре производства ВВП - 9,5%.</w:t>
      </w:r>
    </w:p>
    <w:p>
      <w:pPr>
        <w:spacing w:after="120"/>
        <w:ind w:firstLine="567"/>
        <w:jc w:val="both"/>
      </w:pPr>
      <w:r>
        <w:rPr>
          <w:rFonts w:ascii="Arial" w:cs="Arial" w:eastAsia="Arial" w:hAnsi="Arial"/>
          <w:sz w:val="24"/>
          <w:szCs w:val="24"/>
        </w:rPr>
        <w:t xml:space="preserve">Вместе с тем существуют риски, которые могут оказать негативный эффект на развитие строительства и привести к недостижению прогнозируемых показателей, а именно:</w:t>
      </w:r>
    </w:p>
    <w:p>
      <w:pPr>
        <w:spacing w:after="120"/>
        <w:ind w:firstLine="567"/>
        <w:jc w:val="both"/>
      </w:pPr>
      <w:r>
        <w:rPr>
          <w:rFonts w:ascii="Arial" w:cs="Arial" w:eastAsia="Arial" w:hAnsi="Arial"/>
          <w:sz w:val="24"/>
          <w:szCs w:val="24"/>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120"/>
        <w:ind w:firstLine="567"/>
        <w:jc w:val="both"/>
      </w:pPr>
      <w:r>
        <w:rPr>
          <w:rFonts w:ascii="Arial" w:cs="Arial" w:eastAsia="Arial" w:hAnsi="Arial"/>
          <w:sz w:val="24"/>
          <w:szCs w:val="24"/>
        </w:rPr>
        <w:t xml:space="preserve">- реализация инвестиционных проектов, предусмотренных в проекте бюджета по государственным инвестициям на 2025-2027 годы (внешние источники), где может произойти пересмотр в сторону снижения. Причинами могут стать неосвоенные средства из-за внутренних проблем, длительные процедуры согласования с донорами и т.д. В связи с чем последующие транши могут быть приостановлены и не поступить в Кыргызскую Республику;</w:t>
      </w:r>
    </w:p>
    <w:p>
      <w:pPr>
        <w:spacing w:after="12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w:t>
      </w:r>
    </w:p>
    <w:p>
      <w:pPr>
        <w:spacing w:after="12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его платежеспособности, вследствие чего произойдет уменьшение объемов жилищного строительства;</w:t>
      </w:r>
    </w:p>
    <w:p>
      <w:pPr>
        <w:spacing w:after="12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отсутствия данных по другим дополнительным источникам финансирования;</w:t>
      </w:r>
    </w:p>
    <w:p>
      <w:pPr>
        <w:spacing w:after="120"/>
        <w:ind w:firstLine="567"/>
        <w:jc w:val="both"/>
      </w:pPr>
      <w:r>
        <w:rPr>
          <w:rFonts w:ascii="Arial" w:cs="Arial" w:eastAsia="Arial" w:hAnsi="Arial"/>
          <w:sz w:val="24"/>
          <w:szCs w:val="24"/>
        </w:rPr>
        <w:t xml:space="preserve">- проблемы, связанные с актом приемки завершенных объектов, некоторые из которых были завершены в предыдущие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120"/>
        <w:ind w:firstLine="567"/>
        <w:jc w:val="both"/>
      </w:pPr>
      <w:r>
        <w:rPr>
          <w:rFonts w:ascii="Arial" w:cs="Arial" w:eastAsia="Arial" w:hAnsi="Arial"/>
          <w:sz w:val="24"/>
          <w:szCs w:val="24"/>
        </w:rPr>
        <w:t xml:space="preserve">- волатильность цен на строительные материалы, в основном импортируемые в Кыргызскую Республику;</w:t>
      </w:r>
    </w:p>
    <w:p>
      <w:pPr>
        <w:spacing w:after="120"/>
        <w:ind w:firstLine="567"/>
        <w:jc w:val="both"/>
      </w:pPr>
      <w:r>
        <w:rPr>
          <w:rFonts w:ascii="Arial" w:cs="Arial" w:eastAsia="Arial" w:hAnsi="Arial"/>
          <w:sz w:val="24"/>
          <w:szCs w:val="24"/>
        </w:rPr>
        <w:t xml:space="preserve">- нарушение логистических цепочек в связи с ограничительными мерами, связанными с сохранением санкционных режимов.</w:t>
      </w:r>
    </w:p>
    <w:p>
      <w:pPr>
        <w:spacing w:after="120"/>
        <w:ind w:firstLine="567"/>
        <w:jc w:val="both"/>
      </w:pPr>
      <w:r>
        <w:rPr>
          <w:rFonts w:ascii="Arial" w:cs="Arial" w:eastAsia="Arial" w:hAnsi="Arial"/>
          <w:b/>
          <w:bCs/>
          <w:sz w:val="24"/>
          <w:szCs w:val="24"/>
        </w:rPr>
        <w:t xml:space="preserve">1.4. Сфера услуг</w:t>
      </w:r>
    </w:p>
    <w:p>
      <w:pPr>
        <w:spacing w:after="120"/>
        <w:ind w:firstLine="567"/>
        <w:jc w:val="both"/>
      </w:pPr>
      <w:r>
        <w:rPr>
          <w:rFonts w:ascii="Arial" w:cs="Arial" w:eastAsia="Arial" w:hAnsi="Arial"/>
          <w:sz w:val="24"/>
          <w:szCs w:val="24"/>
        </w:rPr>
        <w:t xml:space="preserve">Рост сферы услуг будет обусловлен положительной динамикой доходов населения, активизацией туристического сектора и увеличением доли малого и среднего бизнеса в экономике. Дополнительный импульс развитию отрасли придаст ускоренное внедрение цифровых решений, расширение онлайн-торговых платформ, а также рост спроса на услуги, связанные с креативной экономикой и информационными технологиями.</w:t>
      </w:r>
    </w:p>
    <w:p>
      <w:pPr>
        <w:spacing w:after="120"/>
        <w:ind w:firstLine="567"/>
        <w:jc w:val="both"/>
      </w:pPr>
      <w:r>
        <w:rPr>
          <w:rFonts w:ascii="Arial" w:cs="Arial" w:eastAsia="Arial" w:hAnsi="Arial"/>
          <w:sz w:val="24"/>
          <w:szCs w:val="24"/>
        </w:rPr>
        <w:t xml:space="preserve">Основные направления развития рынка услуг определены в таких программных страновых документах, как: </w:t>
      </w:r>
      <w:r>
        <w:rPr>
          <w:rFonts w:ascii="Arial" w:cs="Arial" w:eastAsia="Arial" w:hAnsi="Arial"/>
          <w:sz w:val="24"/>
          <w:szCs w:val="24"/>
        </w:rPr>
        <w:t xml:space="preserve">Национальная стратегия</w:t>
      </w:r>
      <w:r>
        <w:rPr>
          <w:rFonts w:ascii="Arial" w:cs="Arial" w:eastAsia="Arial" w:hAnsi="Arial"/>
          <w:sz w:val="24"/>
          <w:szCs w:val="24"/>
        </w:rPr>
        <w:t xml:space="preserve"> развития Кыргызской Республики на 2018-2040 годы, утвержденная </w:t>
      </w:r>
      <w:hyperlink w:history="1" r:id="rIdv_7inz_x2sylozal0hxe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w:t>
      </w:r>
      <w:hyperlink w:history="1" r:id="rIdddzfmaeb8y5td7nmh2osk">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цифровой трансформации Кыргызской Республики на 2024-2028 годы, утвержденная </w:t>
      </w:r>
      <w:hyperlink w:history="1" r:id="rId-ty_xffh3ajngcmk7bhw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vkchtwkxwhjk7wgb2erjk">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цифровой трансформации Кыргызской Республики на 2024-2028 годы" от 5 апреля 2024 года № 90, </w:t>
      </w:r>
      <w:hyperlink w:history="1" r:id="rIdnyvg6vwmpelorf8ckbdzl">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Кыргызской Республики по переходу от неформальной к формальной экономике на период 2024-2030 годы, утвержденная </w:t>
      </w:r>
      <w:hyperlink w:history="1" r:id="rId0vnhuoqif2acxbjberq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t4t9dcw4tf7ljpz-tqzkn">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Кыргызской Республики по переходу от неформальной к формальной экономике на период 2024-2030 годов" от 25 апреля 2024 года № 204, </w:t>
      </w:r>
      <w:hyperlink w:history="1" r:id="rIdnuivkmpae26sdmygwtgpp">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утвержденная </w:t>
      </w:r>
      <w:hyperlink w:history="1" r:id="rIdmrsbhitz3lmgqjxskr5_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idcxpdz7_8miiisago3c4">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от 16 декабря 2022 года № 707, </w:t>
      </w:r>
      <w:hyperlink w:history="1" r:id="rIdbxvjzfnist79wsjiankb-">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устойчивого развития туризма на 2025-2030 годы, утвержденная </w:t>
      </w:r>
      <w:hyperlink w:history="1" r:id="rIdjmyfgx2xap2sq73vpbbg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ygszg7pnwtxjk0ctw01hp">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устойчивого развития туризма на 2025-2030 годы" от 18 декабря 2024 года № 765, </w:t>
      </w:r>
      <w:r>
        <w:rPr>
          <w:rFonts w:ascii="Arial" w:cs="Arial" w:eastAsia="Arial" w:hAnsi="Arial"/>
          <w:sz w:val="24"/>
          <w:szCs w:val="24"/>
        </w:rPr>
        <w:t xml:space="preserve">Основные направления</w:t>
      </w:r>
      <w:r>
        <w:rPr>
          <w:rFonts w:ascii="Arial" w:cs="Arial" w:eastAsia="Arial" w:hAnsi="Arial"/>
          <w:sz w:val="24"/>
          <w:szCs w:val="24"/>
        </w:rPr>
        <w:t xml:space="preserve"> развития железнодорожного транспорта Кыргызской Республики на 2022-2026 годы, утвержденные </w:t>
      </w:r>
      <w:hyperlink w:history="1" r:id="rIdyimrii4q-o5j8wulsbrf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qeday9s4qzyhz61pzkshh">
        <w:r>
          <w:rPr>
            <w:rFonts w:ascii="Arial" w:cs="Arial" w:eastAsia="Arial" w:hAnsi="Arial"/>
            <w:color w:val="1D4ED8"/>
            <w:sz w:val="24"/>
            <w:szCs w:val="24"/>
            <w:u w:val="single"/>
          </w:rPr>
          <w:t xml:space="preserve">Основных направлений</w:t>
        </w:r>
      </w:hyperlink>
      <w:r>
        <w:rPr>
          <w:rFonts w:ascii="Arial" w:cs="Arial" w:eastAsia="Arial" w:hAnsi="Arial"/>
          <w:sz w:val="24"/>
          <w:szCs w:val="24"/>
        </w:rPr>
        <w:t xml:space="preserve"> развития железнодорожного транспорта Кыргызской Республики на 2022-2026 годы" от 20 мая 2022 года № 258, Основные направления развития платежной системы Кыргызской Республики на 2023-2027 годы,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"Об Основных направлениях развития платежной системы Кыргызской Республики на 2023-2027 годы" от 29 марта 2023 года и т.д.</w:t>
      </w:r>
    </w:p>
    <w:p>
      <w:pPr>
        <w:spacing w:after="120"/>
        <w:ind w:firstLine="567"/>
        <w:jc w:val="both"/>
      </w:pPr>
      <w:r>
        <w:rPr>
          <w:rFonts w:ascii="Arial" w:cs="Arial" w:eastAsia="Arial" w:hAnsi="Arial"/>
          <w:sz w:val="24"/>
          <w:szCs w:val="24"/>
        </w:rPr>
        <w:t xml:space="preserve">Темп роста валового объема сферы услуг на 2026 год прогнозируется на уровне 108,2%. Сфера услуг по-прежнему будет занимать доминирующую долю в структуре ВВП (более 50,0%) и с наибольшим вкладом в структуре роста - 4,22 п.п.</w:t>
      </w:r>
    </w:p>
    <w:p>
      <w:pPr>
        <w:spacing w:after="120"/>
        <w:ind w:firstLine="567"/>
        <w:jc w:val="both"/>
      </w:pPr>
      <w:r>
        <w:rPr>
          <w:rFonts w:ascii="Arial" w:cs="Arial" w:eastAsia="Arial" w:hAnsi="Arial"/>
          <w:sz w:val="24"/>
          <w:szCs w:val="24"/>
        </w:rPr>
        <w:t xml:space="preserve">Наибольшую долю в структуре отраслей экономики, оказывающих услуги, занимают оптовая и розничная торговля - 37,8%, услуги транспортной деятельности - 8,1% и услуги финансового посредничества и страхования - 8,9%.</w:t>
      </w:r>
    </w:p>
    <w:p>
      <w:pPr>
        <w:spacing w:after="120"/>
        <w:ind w:firstLine="567"/>
        <w:jc w:val="both"/>
      </w:pPr>
      <w:r>
        <w:rPr>
          <w:rFonts w:ascii="Arial" w:cs="Arial" w:eastAsia="Arial" w:hAnsi="Arial"/>
          <w:sz w:val="24"/>
          <w:szCs w:val="24"/>
        </w:rPr>
        <w:t xml:space="preserve">Прогнозируется рост валового выпуска в сфере оптовой и розничной торговли, ремонта автомобилей и мотоциклов на 12,7% за счет повышения потребительского спроса на фоне увеличения доходов населения, чему будет способствовать рост денежных доходов населения на 12,5%, заработной платы на 8,5%, размеров пенсий - на 4,0%, а также расширения объемов социальных выплат. Дополнительным драйвером станет развитие производства сельскохозяйственной продукции в домашних хозяйствах, способствующее увеличению товарных ресурсов на внутреннем рынке, а также развитие электронной коммерции и формирование экосистемы маркетплейсов, предусматривающей создание платформенных решений, стимулирование локального бизнеса и продвижение экспорта отечественных товаров через цифровые площадки.</w:t>
      </w:r>
    </w:p>
    <w:p>
      <w:pPr>
        <w:spacing w:after="120"/>
        <w:ind w:firstLine="567"/>
        <w:jc w:val="both"/>
      </w:pPr>
      <w:r>
        <w:rPr>
          <w:rFonts w:ascii="Arial" w:cs="Arial" w:eastAsia="Arial" w:hAnsi="Arial"/>
          <w:sz w:val="24"/>
          <w:szCs w:val="24"/>
        </w:rPr>
        <w:t xml:space="preserve">Прогнозируется прирост услуг транспортной деятельности и хранения грузов на 7,4% за счет развития транспортной инфраструктуры (аэропорты, железные дороги и автомобильные дороги); развитие гражданской авиации и обеспечение воздушной безопасности, реконструкции аэропортов - улучшение работы транспортных коридоров будут способствовать увеличению грузовых и пассажирских потоков:</w:t>
      </w:r>
    </w:p>
    <w:p>
      <w:pPr>
        <w:spacing w:after="120"/>
        <w:ind w:firstLine="567"/>
        <w:jc w:val="both"/>
      </w:pPr>
      <w:r>
        <w:rPr>
          <w:rFonts w:ascii="Arial" w:cs="Arial" w:eastAsia="Arial" w:hAnsi="Arial"/>
          <w:sz w:val="24"/>
          <w:szCs w:val="24"/>
        </w:rPr>
        <w:t xml:space="preserve">- создание льготных тарифных условий совместно с железной дорогой Узбекистана для увеличения грузоперевозок железнодорожным транспортом в южные области Кыргызской Республики транзитом через территорию Республики Узбекистан;</w:t>
      </w:r>
    </w:p>
    <w:p>
      <w:pPr>
        <w:spacing w:after="120"/>
        <w:ind w:firstLine="567"/>
        <w:jc w:val="both"/>
      </w:pPr>
      <w:r>
        <w:rPr>
          <w:rFonts w:ascii="Arial" w:cs="Arial" w:eastAsia="Arial" w:hAnsi="Arial"/>
          <w:sz w:val="24"/>
          <w:szCs w:val="24"/>
        </w:rPr>
        <w:t xml:space="preserve">- установление льготных условий государственным предприятием "Национальная компания "Кыргыз темир жолу" для экспорта угля в южные регионы Кыргызской Республики и для перевозки других видов грузов по экспортно-импортным направлениям;</w:t>
      </w:r>
    </w:p>
    <w:p>
      <w:pPr>
        <w:spacing w:after="120"/>
        <w:ind w:firstLine="567"/>
        <w:jc w:val="both"/>
      </w:pPr>
      <w:r>
        <w:rPr>
          <w:rFonts w:ascii="Arial" w:cs="Arial" w:eastAsia="Arial" w:hAnsi="Arial"/>
          <w:sz w:val="24"/>
          <w:szCs w:val="24"/>
        </w:rPr>
        <w:t xml:space="preserve">- развитие мультимодального коридора Китай - Кыргызстан - Узбекистан - Афганистан для перевозки грузов из Китая и в Китай железнодорожным транспортом;</w:t>
      </w:r>
    </w:p>
    <w:p>
      <w:pPr>
        <w:spacing w:after="120"/>
        <w:ind w:firstLine="567"/>
        <w:jc w:val="both"/>
      </w:pPr>
      <w:r>
        <w:rPr>
          <w:rFonts w:ascii="Arial" w:cs="Arial" w:eastAsia="Arial" w:hAnsi="Arial"/>
          <w:sz w:val="24"/>
          <w:szCs w:val="24"/>
        </w:rPr>
        <w:t xml:space="preserve">- установление специального тарифа со скидкой до 90% для перевозки контейнеров в/из Исламской Республики Иран в рамках меморандума о сотрудничестве между железными дорогами Кыргызской Республики и Исламской Республики Иран;</w:t>
      </w:r>
    </w:p>
    <w:p>
      <w:pPr>
        <w:spacing w:after="120"/>
        <w:ind w:firstLine="567"/>
        <w:jc w:val="both"/>
      </w:pPr>
      <w:r>
        <w:rPr>
          <w:rFonts w:ascii="Arial" w:cs="Arial" w:eastAsia="Arial" w:hAnsi="Arial"/>
          <w:sz w:val="24"/>
          <w:szCs w:val="24"/>
        </w:rPr>
        <w:t xml:space="preserve">- присвоение станции Ош статуса международной транзитной станции для увеличения объемов международных транзитных грузоперевозок железнодорожным транспортом.</w:t>
      </w:r>
    </w:p>
    <w:p>
      <w:pPr>
        <w:spacing w:after="120"/>
        <w:ind w:firstLine="567"/>
        <w:jc w:val="both"/>
      </w:pPr>
      <w:r>
        <w:rPr>
          <w:rFonts w:ascii="Arial" w:cs="Arial" w:eastAsia="Arial" w:hAnsi="Arial"/>
          <w:sz w:val="24"/>
          <w:szCs w:val="24"/>
        </w:rPr>
        <w:t xml:space="preserve">Прирост услуг гостиниц и ресторанов на 18,6% прогнозируется за счет развития сервиса гостиничного комплекса и общественного питания.</w:t>
      </w:r>
    </w:p>
    <w:p>
      <w:pPr>
        <w:spacing w:after="120"/>
        <w:ind w:firstLine="567"/>
        <w:jc w:val="both"/>
      </w:pPr>
      <w:r>
        <w:rPr>
          <w:rFonts w:ascii="Arial" w:cs="Arial" w:eastAsia="Arial" w:hAnsi="Arial"/>
          <w:sz w:val="24"/>
          <w:szCs w:val="24"/>
        </w:rPr>
        <w:t xml:space="preserve">Основными факторами роста станут:</w:t>
      </w:r>
    </w:p>
    <w:p>
      <w:pPr>
        <w:spacing w:after="120"/>
        <w:ind w:firstLine="567"/>
        <w:jc w:val="both"/>
      </w:pPr>
      <w:r>
        <w:rPr>
          <w:rFonts w:ascii="Arial" w:cs="Arial" w:eastAsia="Arial" w:hAnsi="Arial"/>
          <w:sz w:val="24"/>
          <w:szCs w:val="24"/>
        </w:rPr>
        <w:t xml:space="preserve">- развитие инфраструктуры туристической отрасли, направленной на повышение качества сервиса и создание комфортных условий для туристов, в рамках деятельности Фонда поддержки развития туризма;</w:t>
      </w:r>
    </w:p>
    <w:p>
      <w:pPr>
        <w:spacing w:after="120"/>
        <w:ind w:firstLine="567"/>
        <w:jc w:val="both"/>
      </w:pPr>
      <w:r>
        <w:rPr>
          <w:rFonts w:ascii="Arial" w:cs="Arial" w:eastAsia="Arial" w:hAnsi="Arial"/>
          <w:sz w:val="24"/>
          <w:szCs w:val="24"/>
        </w:rPr>
        <w:t xml:space="preserve">- расширение спектра услуг в гостиничном бизнесе и сфере питания, в том числе повышение стандартов обслуживания, внедрение современных сервисных технологий и адаптация услуг под различные категории туристов;</w:t>
      </w:r>
    </w:p>
    <w:p>
      <w:pPr>
        <w:spacing w:after="120"/>
        <w:ind w:firstLine="567"/>
        <w:jc w:val="both"/>
      </w:pPr>
      <w:r>
        <w:rPr>
          <w:rFonts w:ascii="Arial" w:cs="Arial" w:eastAsia="Arial" w:hAnsi="Arial"/>
          <w:sz w:val="24"/>
          <w:szCs w:val="24"/>
        </w:rPr>
        <w:t xml:space="preserve">- формирование туристических кластеров с развитой инфраструктурой и логистикой с акцентом на экотуризм, медицинский и спортивный туризм;</w:t>
      </w:r>
    </w:p>
    <w:p>
      <w:pPr>
        <w:spacing w:after="120"/>
        <w:ind w:firstLine="567"/>
        <w:jc w:val="both"/>
      </w:pPr>
      <w:r>
        <w:rPr>
          <w:rFonts w:ascii="Arial" w:cs="Arial" w:eastAsia="Arial" w:hAnsi="Arial"/>
          <w:sz w:val="24"/>
          <w:szCs w:val="24"/>
        </w:rPr>
        <w:t xml:space="preserve">- развитие горного туризма через создание условий для альпинизма, треккинга и зимних видов спорта;</w:t>
      </w:r>
    </w:p>
    <w:p>
      <w:pPr>
        <w:spacing w:after="120"/>
        <w:ind w:firstLine="567"/>
        <w:jc w:val="both"/>
      </w:pPr>
      <w:r>
        <w:rPr>
          <w:rFonts w:ascii="Arial" w:cs="Arial" w:eastAsia="Arial" w:hAnsi="Arial"/>
          <w:sz w:val="24"/>
          <w:szCs w:val="24"/>
        </w:rPr>
        <w:t xml:space="preserve">- развитие культурного туризма за счет продвижения исторических маршрутов и создания новых туристических продуктов.</w:t>
      </w:r>
    </w:p>
    <w:p>
      <w:pPr>
        <w:spacing w:after="120"/>
        <w:ind w:firstLine="567"/>
        <w:jc w:val="both"/>
      </w:pPr>
      <w:r>
        <w:rPr>
          <w:rFonts w:ascii="Arial" w:cs="Arial" w:eastAsia="Arial" w:hAnsi="Arial"/>
          <w:sz w:val="24"/>
          <w:szCs w:val="24"/>
        </w:rPr>
        <w:t xml:space="preserve">Прогнозируется прирост объемов услуг информации и связи на 5,9%, что будет обеспечено созданием новых цифровых продуктов, способствующих увеличению спроса на интернет-трафик, а также расширением предоставления населению высокотехнологичных и доступных информационно-коммуникационных услуг. Существенное влияние окажет рост общей протяженности волоконно-оптических линий связи (далее - ВОЛС) по республике в ответ на увеличение потребности абонентов в скорости и качестве интернет-доступа. Высокая пропускная способность ВОЛС позволит значительно повысить устойчивость и пропускную способность телекоммуникационной инфраструктуры, создав условия для расширения спектра и объемов предоставляемых цифровых услуг. Одновременно продолжится процесс цифровизации государственных и коммерческих услуг с переходом на "безбумажный" формат, в том числе через интеграцию с единой системой "Тундук", что усилит вовлечение населения и бизнеса в использование цифровых технологий. Дополнительным стимулом для развития отрасли станет внедрение технологии 5G, обеспечивающее дальнейшее расширение возможностей цифровой среды.</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Динамика темпов роста в отраслях сферы услуг на 2025-2026 годы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5"/>
        <w:gridCol w:w="1044"/>
        <w:gridCol w:w="1044"/>
        <w:gridCol w:w="1028"/>
        <w:gridCol w:w="1028"/>
      </w:tblGrid>
      <w:tr>
        <w:tc>
          <w:tcPr>
            <w:tcW w:type="dxa" w:w="60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0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20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всего</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108,2</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517983,0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622206,8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114624,5</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133681,5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77251,0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100485,7</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62516,5</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68257,4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133318,6</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146490,5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114510,3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125268,2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41660,6</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49093,4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13879,8</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14648,4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119626,9</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132563,4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102109,3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110858,3</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75473,0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90414,2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14038,3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15881,6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34696,4</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37651,1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372,8</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bl>
    <w:p>
      <w:pPr>
        <w:spacing w:after="120" w:before="120"/>
        <w:ind w:firstLine="567"/>
        <w:jc w:val="both"/>
      </w:pPr>
      <w:r>
        <w:rPr>
          <w:rFonts w:ascii="Arial" w:cs="Arial" w:eastAsia="Arial" w:hAnsi="Arial"/>
          <w:sz w:val="24"/>
          <w:szCs w:val="24"/>
        </w:rPr>
        <w:t xml:space="preserve">Кроме того, ключевыми сегментами в данной отрасли являются другие виды услуг, такие как образовательные и медицинские услуги, операции с недвижимым имуществом, научная и техническая деятельность, искусство, развлечения и отдых, 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 и др., функционирование которых формирует многообразие услуг, способствуя экономическому развитию страны и повышению качества жизни населения.</w:t>
      </w:r>
    </w:p>
    <w:p>
      <w:pPr>
        <w:spacing w:after="120"/>
        <w:ind w:firstLine="567"/>
        <w:jc w:val="both"/>
      </w:pPr>
      <w:r>
        <w:rPr>
          <w:rFonts w:ascii="Arial" w:cs="Arial" w:eastAsia="Arial" w:hAnsi="Arial"/>
          <w:sz w:val="24"/>
          <w:szCs w:val="24"/>
        </w:rPr>
        <w:t xml:space="preserve">В образовательной сфере основной упор будет направлен на формирование дополнительных образовательных программ с учетом потребностей различных категорий обучающихся и предстоящей реформы с переходом на 12-летнее обучение. Прогнозируется увеличение медицинских и образовательных услуг за счет внедрения цифровых технологий, таких как электронная очередь к врачу, электронная карточка пациента, электронная запись в школу и т.д.</w:t>
      </w:r>
    </w:p>
    <w:p>
      <w:pPr>
        <w:spacing w:after="120"/>
        <w:ind w:firstLine="567"/>
        <w:jc w:val="both"/>
      </w:pPr>
      <w:r>
        <w:rPr>
          <w:rFonts w:ascii="Arial" w:cs="Arial" w:eastAsia="Arial" w:hAnsi="Arial"/>
          <w:sz w:val="24"/>
          <w:szCs w:val="24"/>
        </w:rPr>
        <w:t xml:space="preserve">Развитию услуг в сфере культуры и искусства будет способствовать стабильная работа действующих театров, кинозалов, расширение их репертуара. Кроме того, запланированные работы по ремонту и реконструкции основных культурных заведений позволят привлечь на отечественные сцены зарубежных артистов, деятелей культуры, что даст дополнительный толчок к увеличению объемов услуг.</w:t>
      </w:r>
    </w:p>
    <w:p>
      <w:pPr>
        <w:spacing w:after="120"/>
        <w:ind w:firstLine="567"/>
        <w:jc w:val="both"/>
      </w:pPr>
      <w:r>
        <w:rPr>
          <w:rFonts w:ascii="Arial" w:cs="Arial" w:eastAsia="Arial" w:hAnsi="Arial"/>
          <w:sz w:val="24"/>
          <w:szCs w:val="24"/>
        </w:rPr>
        <w:t xml:space="preserve">Развитие этих сфер поддерживается увеличением доходов населения, расширением малого и среднего бизнеса, а также интеграцией цифровых технологий. Денежные доходы населения за последние три года увеличились на более чем 44%, размер среднемесячной номинальной заработной платы увеличился в среднем на 40%, средний размер пенсии - на 30%, а размер ежемесячного социального пособия увеличился на 38%. Все эти факторы, в свою очередь, оказывают поддержку внутреннему спросу, соответственно, увеличению объемов оборота оптовой и розничной торговли, транспортной деятельности и хранения грузов, гостиницы и ресторанов и т.д.</w:t>
      </w:r>
    </w:p>
    <w:p>
      <w:pPr>
        <w:spacing w:after="120"/>
        <w:ind w:firstLine="567"/>
        <w:jc w:val="both"/>
      </w:pPr>
      <w:r>
        <w:rPr>
          <w:rFonts w:ascii="Arial" w:cs="Arial" w:eastAsia="Arial" w:hAnsi="Arial"/>
          <w:sz w:val="24"/>
          <w:szCs w:val="24"/>
        </w:rPr>
        <w:t xml:space="preserve">При этом существуют определенные риски по обеспечению выполнения поставленных задач в сфере услуг:</w:t>
      </w:r>
    </w:p>
    <w:p>
      <w:pPr>
        <w:spacing w:after="120"/>
        <w:ind w:firstLine="567"/>
        <w:jc w:val="both"/>
      </w:pPr>
      <w:r>
        <w:rPr>
          <w:rFonts w:ascii="Arial" w:cs="Arial" w:eastAsia="Arial" w:hAnsi="Arial"/>
          <w:sz w:val="24"/>
          <w:szCs w:val="24"/>
        </w:rPr>
        <w:t xml:space="preserve">1) сохранение сложной геополитической обстановки в мире;</w:t>
      </w:r>
    </w:p>
    <w:p>
      <w:pPr>
        <w:spacing w:after="120"/>
        <w:ind w:firstLine="567"/>
        <w:jc w:val="both"/>
      </w:pPr>
      <w:r>
        <w:rPr>
          <w:rFonts w:ascii="Arial" w:cs="Arial" w:eastAsia="Arial" w:hAnsi="Arial"/>
          <w:sz w:val="24"/>
          <w:szCs w:val="24"/>
        </w:rPr>
        <w:t xml:space="preserve">2) снижение покупательской способности населения в связи с возможным ростом уровня инфляции;</w:t>
      </w:r>
    </w:p>
    <w:p>
      <w:pPr>
        <w:spacing w:after="120"/>
        <w:ind w:firstLine="567"/>
        <w:jc w:val="both"/>
      </w:pPr>
      <w:r>
        <w:rPr>
          <w:rFonts w:ascii="Arial" w:cs="Arial" w:eastAsia="Arial" w:hAnsi="Arial"/>
          <w:sz w:val="24"/>
          <w:szCs w:val="24"/>
        </w:rPr>
        <w:t xml:space="preserve">3) снижение поступлений денежных переводов от мигрантов;</w:t>
      </w:r>
    </w:p>
    <w:p>
      <w:pPr>
        <w:spacing w:after="120"/>
        <w:ind w:firstLine="567"/>
        <w:jc w:val="both"/>
      </w:pPr>
      <w:r>
        <w:rPr>
          <w:rFonts w:ascii="Arial" w:cs="Arial" w:eastAsia="Arial" w:hAnsi="Arial"/>
          <w:sz w:val="24"/>
          <w:szCs w:val="24"/>
        </w:rPr>
        <w:t xml:space="preserve">4) нехватка специалистов в определенных отраслях услуг (туризм, информационных технологиях и т.д.) может ограничивать их развитие;</w:t>
      </w:r>
    </w:p>
    <w:p>
      <w:pPr>
        <w:spacing w:after="120"/>
        <w:ind w:firstLine="567"/>
        <w:jc w:val="both"/>
      </w:pPr>
      <w:r>
        <w:rPr>
          <w:rFonts w:ascii="Arial" w:cs="Arial" w:eastAsia="Arial" w:hAnsi="Arial"/>
          <w:sz w:val="24"/>
          <w:szCs w:val="24"/>
        </w:rPr>
        <w:t xml:space="preserve">5) снижение прямых иностранных инвестиций в экономику страны;</w:t>
      </w:r>
    </w:p>
    <w:p>
      <w:pPr>
        <w:spacing w:after="120"/>
        <w:ind w:firstLine="567"/>
        <w:jc w:val="both"/>
      </w:pPr>
      <w:r>
        <w:rPr>
          <w:rFonts w:ascii="Arial" w:cs="Arial" w:eastAsia="Arial" w:hAnsi="Arial"/>
          <w:sz w:val="24"/>
          <w:szCs w:val="24"/>
        </w:rPr>
        <w:t xml:space="preserve">6) снижение деловой активности в экономике страны.</w:t>
      </w:r>
    </w:p>
    <w:p>
      <w:pPr>
        <w:spacing w:after="240" w:before="200"/>
        <w:jc w:val="center"/>
      </w:pPr>
      <w:r>
        <w:rPr>
          <w:rFonts w:ascii="Arial" w:cs="Arial" w:eastAsia="Arial" w:hAnsi="Arial"/>
          <w:b/>
          <w:bCs/>
          <w:sz w:val="24"/>
          <w:szCs w:val="24"/>
        </w:rPr>
        <w:t xml:space="preserve">Глава 6. Внешнеэкономическая деятельность</w:t>
      </w:r>
    </w:p>
    <w:p>
      <w:pPr>
        <w:spacing w:after="120"/>
        <w:ind w:firstLine="567"/>
        <w:jc w:val="both"/>
      </w:pPr>
      <w:r>
        <w:rPr>
          <w:rFonts w:ascii="Arial" w:cs="Arial" w:eastAsia="Arial" w:hAnsi="Arial"/>
          <w:sz w:val="24"/>
          <w:szCs w:val="24"/>
        </w:rPr>
        <w:t xml:space="preserve">Внешнеэкономическая деятельность Кыргызской Республики в 2026 году будет ориентирована на укрепление позиций страны на мировых рынках, расширение экспортных возможностей и повышение конкурентоспособности отечественной продукции. Основной акцент будет сделан на создании благоприятных условий для увеличения объема экспорта путем диверсификации экспортной структуры, улучшения качества продукции и расширения географии экспортных поставок.</w:t>
      </w:r>
    </w:p>
    <w:p>
      <w:pPr>
        <w:spacing w:after="120"/>
        <w:ind w:firstLine="567"/>
        <w:jc w:val="both"/>
      </w:pPr>
      <w:r>
        <w:rPr>
          <w:rFonts w:ascii="Arial" w:cs="Arial" w:eastAsia="Arial" w:hAnsi="Arial"/>
          <w:sz w:val="24"/>
          <w:szCs w:val="24"/>
        </w:rPr>
        <w:t xml:space="preserve">Для эффективного выполнения задач по развитию и продвижению экспорта, обеспечения устойчивого роста экспортного потенциала и конкурентоспособности отечественных производителей продолжится реализация мер государственной поддержки внешнеэкономической деятельности. Особое внимание будет уделено использованию инструментов экономической дипломатии для продвижения торгово-экономических интересов страны на международной арене.</w:t>
      </w:r>
    </w:p>
    <w:p>
      <w:pPr>
        <w:spacing w:after="120"/>
        <w:ind w:firstLine="567"/>
        <w:jc w:val="both"/>
      </w:pPr>
      <w:r>
        <w:rPr>
          <w:rFonts w:ascii="Arial" w:cs="Arial" w:eastAsia="Arial" w:hAnsi="Arial"/>
          <w:sz w:val="24"/>
          <w:szCs w:val="24"/>
        </w:rPr>
        <w:t xml:space="preserve">Меры повышения экспортного потенциала и конкурентоспособности отечественной продукции на мировом рынке будут осуществляться в рамках реализации </w:t>
      </w:r>
      <w:hyperlink w:history="1" r:id="rIdvwivtdl_oq93cdlm5uwbj">
        <w:r>
          <w:rPr>
            <w:rFonts w:ascii="Arial" w:cs="Arial" w:eastAsia="Arial" w:hAnsi="Arial"/>
            <w:color w:val="1D4ED8"/>
            <w:sz w:val="24"/>
            <w:szCs w:val="24"/>
            <w:u w:val="single"/>
          </w:rPr>
          <w:t xml:space="preserve">Национальной экспортной программы</w:t>
        </w:r>
      </w:hyperlink>
      <w:r>
        <w:rPr>
          <w:rFonts w:ascii="Arial" w:cs="Arial" w:eastAsia="Arial" w:hAnsi="Arial"/>
          <w:sz w:val="24"/>
          <w:szCs w:val="24"/>
        </w:rPr>
        <w:t xml:space="preserve"> "Сделано в Кыргызстане" на 2025-2028 годы, утвержденной </w:t>
      </w:r>
      <w:hyperlink w:history="1" r:id="rIdafzflknkh7qyrhrw_qo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knurfbtvpp7b0vzgscu-q">
        <w:r>
          <w:rPr>
            <w:rFonts w:ascii="Arial" w:cs="Arial" w:eastAsia="Arial" w:hAnsi="Arial"/>
            <w:color w:val="1D4ED8"/>
            <w:sz w:val="24"/>
            <w:szCs w:val="24"/>
            <w:u w:val="single"/>
          </w:rPr>
          <w:t xml:space="preserve">Национальной экспортной программы</w:t>
        </w:r>
      </w:hyperlink>
      <w:r>
        <w:rPr>
          <w:rFonts w:ascii="Arial" w:cs="Arial" w:eastAsia="Arial" w:hAnsi="Arial"/>
          <w:sz w:val="24"/>
          <w:szCs w:val="24"/>
        </w:rPr>
        <w:t xml:space="preserve"> "Сделано в Кыргызстане" на 2025-2028 годы" от 26 декабря 2024 года № 801. Основными целями являются увеличение объемов экспорта, привлечение финансовых потоков от экспортной деятельности и повышение международной узнаваемости продукции под брендом "Сделано в Кыргызстане". Для достижения этих целей будут проводиться работы по оптимизации внешнеторговых формальностей, созданию эффективной системы продвижения экспорта и развития экспортного потенциала, усилению международной интеграции экспортеров и продвижению бренда "Сделано в Кыргызстане", обеспечению экспортерам приоритетных секторов доступа к финансам, совершенствованию правовых механизмов и обеспечению внедрения международных и региональных стандартов для продвижения продукции на экспортные рынки, а также модернизация институтов по оценке соответствия и метрологии. Поддержка и развитие будут нацелены на следующую товарную структуру экспорта, включая продукцию халал-индустрии, но не ограничиваясь этим перечнем: текстиль и швейная продукция, в том числе традиционные изделия ручной работы и обувь; готовая продукция из фруктов, овощей; готовая продукция из орехов и бобов; готовая сушеная продукция; мед и продукция пчеловодства; молочная продукция; мясная и рыбная продукция; ювелирные изделия.</w:t>
      </w:r>
    </w:p>
    <w:p>
      <w:pPr>
        <w:spacing w:after="120"/>
        <w:ind w:firstLine="567"/>
        <w:jc w:val="both"/>
      </w:pPr>
      <w:r>
        <w:rPr>
          <w:rFonts w:ascii="Arial" w:cs="Arial" w:eastAsia="Arial" w:hAnsi="Arial"/>
          <w:sz w:val="24"/>
          <w:szCs w:val="24"/>
        </w:rPr>
        <w:t xml:space="preserve">В целях повышения конкурентоспособности отечественной продукции в приоритетных секторах экономики с высоким экспортным потенциалом будет запущена экспортная акселерационная программа. В рамках программы будет отобрано не менее 20 пилотных компаний для всесторонней поддержки. Для реализации программы планируется привлечь ресурсы международных организаций и партнеров по развитию, а также совместно с ними провести мероприятия по продвижению экспорта. Кроме того, будут реализованы меры по укреплению потенциала предпринимателей-экспортеров из различных секторов и регионов.</w:t>
      </w:r>
    </w:p>
    <w:p>
      <w:pPr>
        <w:spacing w:after="120"/>
        <w:ind w:firstLine="567"/>
        <w:jc w:val="both"/>
      </w:pPr>
      <w:r>
        <w:rPr>
          <w:rFonts w:ascii="Arial" w:cs="Arial" w:eastAsia="Arial" w:hAnsi="Arial"/>
          <w:sz w:val="24"/>
          <w:szCs w:val="24"/>
        </w:rPr>
        <w:t xml:space="preserve">В настоящее время для привлечения отечественных производителей и экспортеров с целью продвижения продукции на целевых рынках проводится работа по оформлению и подготовке павильона, приобретенного в ноябре 2024 года в Международном торговом центре "Термез" (Республика Узбекистан). Павильон будет использован для организации торговых операций и содействия экспорту продукции в Республику Узбекистан, Афганистан, страны Среднего Востока и Южной Азии.</w:t>
      </w:r>
    </w:p>
    <w:p>
      <w:pPr>
        <w:spacing w:after="120"/>
        <w:ind w:firstLine="567"/>
        <w:jc w:val="both"/>
      </w:pPr>
      <w:r>
        <w:rPr>
          <w:rFonts w:ascii="Arial" w:cs="Arial" w:eastAsia="Arial" w:hAnsi="Arial"/>
          <w:sz w:val="24"/>
          <w:szCs w:val="24"/>
        </w:rPr>
        <w:t xml:space="preserve">Одной из приоритетных задач социально-экономического развития Кыргызской Республики на ближайшие пять лет является освоение рынка Китайской Народной Республики (далее - КНР). Несмотря на существующие вызовы, на сегодняшний день предприняты значительные меры по увеличению объемов экспорта. В частности, подписаны соответствующие международные протоколы, обеспечивающие возможность поставок на рынок КНР следующих товарных категорий: мясо, мед, молочная продукция, аквакультура, фрукты и зерновые культуры.</w:t>
      </w:r>
    </w:p>
    <w:p>
      <w:pPr>
        <w:spacing w:after="120"/>
        <w:ind w:firstLine="567"/>
        <w:jc w:val="both"/>
      </w:pPr>
      <w:r>
        <w:rPr>
          <w:rFonts w:ascii="Arial" w:cs="Arial" w:eastAsia="Arial" w:hAnsi="Arial"/>
          <w:sz w:val="24"/>
          <w:szCs w:val="24"/>
        </w:rPr>
        <w:t xml:space="preserve">Для устранения основных проблем, сдерживающих рост экспорта продукции Кыргызской Республики в КНР (мелкотоварность производства, низкая узнаваемость кыргызской продукции среди китайских потребителей, несоответствие требованиям стандартов КНР по маркировке, упаковке и качеству, а также недостаточная готовность отечественных предпринимателей к выходу на внешние рынки, включая незнание иностранного языка, отсутствие маркетинговых навыков и финансовых средств для участия в международных мероприятиях), предлагается реализация комплекса мер, направленных на предэкспортную подготовку производителей, продвижение продукции на рынках КНР и обеспечение доступа на рынок КНР. В этой связи будет продолжаться реализация принятых дорожных карт по продвижению высококачественного развития торговли между КНР и Кыргызской Республикой и по увеличению объемов экспорта Кыргызской Республики в КНР, в соответствии с </w:t>
      </w:r>
      <w:hyperlink w:history="1" r:id="rIdblwrqvbujztli18kw7mt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19 июля 2024 года № 431-р. Важное значение в данном процессе придается открытию торговых павильонов Кыргызской Республики на территории КНР (21 сентября 2024 года в городе Сиань и 27 июня 2024 года в городе Урумчи), целью функционирования которых является презентация продукции Кыргызской Республики, обладающей экспортным потенциалом, а также укрепление торгово-экономического сотрудничества с КНР.</w:t>
      </w:r>
    </w:p>
    <w:p>
      <w:pPr>
        <w:spacing w:after="120"/>
        <w:ind w:firstLine="567"/>
        <w:jc w:val="both"/>
      </w:pPr>
      <w:r>
        <w:rPr>
          <w:rFonts w:ascii="Arial" w:cs="Arial" w:eastAsia="Arial" w:hAnsi="Arial"/>
          <w:sz w:val="24"/>
          <w:szCs w:val="24"/>
        </w:rPr>
        <w:t xml:space="preserve">В целях развития торговли и интеграции страны в международные цепочки поставок прорабатывается вопрос открытия сухопутных портов Кыргызской Республики на территории города Сиань (КНР) и сухопутного порта на территории Кыргызской Республики. Данный проект потребует вложения инвестиций в размере порядка 40 млн. долл. США и включает в себя интегрированные таможенные и контейнерные склады, склады холодильной цепи, интегрированные офисные здания, таможенные здания и гостиницы. В целях реализации проекта подписан Меморандум о взаимопонимании с компанией "Shaanxi huisen kaiyuan Enterprise Management Co Ltd".</w:t>
      </w:r>
    </w:p>
    <w:p>
      <w:pPr>
        <w:spacing w:after="120"/>
        <w:ind w:firstLine="567"/>
        <w:jc w:val="both"/>
      </w:pPr>
      <w:r>
        <w:rPr>
          <w:rFonts w:ascii="Arial" w:cs="Arial" w:eastAsia="Arial" w:hAnsi="Arial"/>
          <w:sz w:val="24"/>
          <w:szCs w:val="24"/>
        </w:rPr>
        <w:t xml:space="preserve">Реализация в Чуйской области инвестиционного проекта "Торгово-логистический комплекс "Манас" с общим объемом инвестиций не менее 700 млн. долл. США, инициатором которого выступает ОсОО "Кыргызско-китайский инвестиционный холдинг", предусматривает создание торгового города, международно-выставочного центра, центра складского и логистического обеспечения с бондовыми зонами, маркетплейсов крупногабаритного оборудования, а также жилых и гостиничных комплексов. Внедрение данного проекта будет способствовать увеличению доходной части бюджета, внедрению инноваций и современных технологий, повышению конкурентоспособности национальной экономики, развитию инфраструктуры, созданию новых рабочих мест, увеличению числа квалифицированных кадров и снижению уровня трудовой миграции за рубеж.</w:t>
      </w:r>
    </w:p>
    <w:p>
      <w:pPr>
        <w:spacing w:after="120"/>
        <w:ind w:firstLine="567"/>
        <w:jc w:val="both"/>
      </w:pPr>
      <w:r>
        <w:rPr>
          <w:rFonts w:ascii="Arial" w:cs="Arial" w:eastAsia="Arial" w:hAnsi="Arial"/>
          <w:sz w:val="24"/>
          <w:szCs w:val="24"/>
        </w:rPr>
        <w:t xml:space="preserve">Для продвижения отечественной продукции на внешних рынках и обеспечения защиты внешнеэкономических интересов Кыргызской Республики в иностранных государствах введены в работу институты торгового представительства в КНР, Узбекистане и Турции, являющиеся достаточно эффективным механизмом поддержки экспортной деятельности.</w:t>
      </w:r>
    </w:p>
    <w:p>
      <w:pPr>
        <w:spacing w:after="120"/>
        <w:ind w:firstLine="567"/>
        <w:jc w:val="both"/>
      </w:pPr>
      <w:r>
        <w:rPr>
          <w:rFonts w:ascii="Arial" w:cs="Arial" w:eastAsia="Arial" w:hAnsi="Arial"/>
          <w:sz w:val="24"/>
          <w:szCs w:val="24"/>
        </w:rPr>
        <w:t xml:space="preserve">Продолжится разработка мер по субсидированию экспортоориентированных производителей в целях поддержки экспорта сельскохозяйственной продукции и продукции переработки.</w:t>
      </w:r>
    </w:p>
    <w:p>
      <w:pPr>
        <w:spacing w:after="120"/>
        <w:ind w:firstLine="567"/>
        <w:jc w:val="both"/>
      </w:pPr>
      <w:r>
        <w:rPr>
          <w:rFonts w:ascii="Arial" w:cs="Arial" w:eastAsia="Arial" w:hAnsi="Arial"/>
          <w:sz w:val="24"/>
          <w:szCs w:val="24"/>
        </w:rPr>
        <w:t xml:space="preserve">Цифровые преобразования и электронная торговля определены приоритетными направлениями в рамках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на 2018-2040 годы, утвержденной </w:t>
      </w:r>
      <w:hyperlink w:history="1" r:id="rId2jlmf4m0hh3hni-vhlny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Будет продолжена работа по проведению реформ, направленных на оптимизацию государственного регулирования, улучшение качества институциональной среды и создание благоприятных условий для развития электронной коммерции в Кыргызской Республике в рамках </w:t>
      </w:r>
      <w:hyperlink w:history="1" r:id="rIdem63dko5b_sjlk_kxs68r">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утвержденной </w:t>
      </w:r>
      <w:hyperlink w:history="1" r:id="rIdbcuzema6onbi__wcide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2d-cmx4oczdchikhadbzc">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от 16 декабря 2022 года № 707. Основными направлениями являются:</w:t>
      </w:r>
    </w:p>
    <w:p>
      <w:pPr>
        <w:spacing w:after="120"/>
        <w:ind w:firstLine="567"/>
        <w:jc w:val="both"/>
      </w:pPr>
      <w:r>
        <w:rPr>
          <w:rFonts w:ascii="Arial" w:cs="Arial" w:eastAsia="Arial" w:hAnsi="Arial"/>
          <w:sz w:val="24"/>
          <w:szCs w:val="24"/>
        </w:rPr>
        <w:t xml:space="preserve">1) сокращение издержек участников электронной коммерции, защита и обеспечение безопасности их деятельности как основы для развития частной инвестиционной деятельности;</w:t>
      </w:r>
    </w:p>
    <w:p>
      <w:pPr>
        <w:spacing w:after="120"/>
        <w:ind w:firstLine="567"/>
        <w:jc w:val="both"/>
      </w:pPr>
      <w:r>
        <w:rPr>
          <w:rFonts w:ascii="Arial" w:cs="Arial" w:eastAsia="Arial" w:hAnsi="Arial"/>
          <w:sz w:val="24"/>
          <w:szCs w:val="24"/>
        </w:rPr>
        <w:t xml:space="preserve">2) продвижение инвестиций, повышение конкурентоспособности товаров и содействие экспорту;</w:t>
      </w:r>
    </w:p>
    <w:p>
      <w:pPr>
        <w:spacing w:after="120"/>
        <w:ind w:firstLine="567"/>
        <w:jc w:val="both"/>
      </w:pPr>
      <w:r>
        <w:rPr>
          <w:rFonts w:ascii="Arial" w:cs="Arial" w:eastAsia="Arial" w:hAnsi="Arial"/>
          <w:sz w:val="24"/>
          <w:szCs w:val="24"/>
        </w:rPr>
        <w:t xml:space="preserve">3) совершенствование финансовой инфраструктуры и расширение доступа к финансовым услугам для субъектов предпринимательства электронной коммерции;</w:t>
      </w:r>
    </w:p>
    <w:p>
      <w:pPr>
        <w:spacing w:after="120"/>
        <w:ind w:firstLine="567"/>
        <w:jc w:val="both"/>
      </w:pPr>
      <w:r>
        <w:rPr>
          <w:rFonts w:ascii="Arial" w:cs="Arial" w:eastAsia="Arial" w:hAnsi="Arial"/>
          <w:sz w:val="24"/>
          <w:szCs w:val="24"/>
        </w:rPr>
        <w:t xml:space="preserve">4) поддержка и содействие в подготовке и переподготовке кадров, развитие навыков и инициатив у субъектов цифрового предпринимательства.</w:t>
      </w:r>
    </w:p>
    <w:p>
      <w:pPr>
        <w:spacing w:after="120"/>
        <w:ind w:firstLine="567"/>
        <w:jc w:val="both"/>
      </w:pPr>
      <w:r>
        <w:rPr>
          <w:rFonts w:ascii="Arial" w:cs="Arial" w:eastAsia="Arial" w:hAnsi="Arial"/>
          <w:sz w:val="24"/>
          <w:szCs w:val="24"/>
        </w:rPr>
        <w:t xml:space="preserve">В рамках ЕАЭС ведется работа над Соглашением об электронной торговле товарами, которое направлено на регулирование взаимной электронной торговли, защиту прав и законных интересов участников, а также установление общих правил взаимодействия между ними в рамках союза.</w:t>
      </w:r>
    </w:p>
    <w:p>
      <w:pPr>
        <w:spacing w:after="120"/>
        <w:ind w:firstLine="567"/>
        <w:jc w:val="both"/>
      </w:pPr>
      <w:r>
        <w:rPr>
          <w:rFonts w:ascii="Arial" w:cs="Arial" w:eastAsia="Arial" w:hAnsi="Arial"/>
          <w:sz w:val="24"/>
          <w:szCs w:val="24"/>
        </w:rPr>
        <w:t xml:space="preserve">Учитывая протекционистские действия, принимаемые рядом стран в отношении товаров первой необходимости из-за влияния глобальных процессов, экспортная политика будет корректироваться с учетом необходимости обеспечения, в первую очередь, потребностей внутреннего рынка стран, в том числе и введение ограничений на экспорт отдельных категорий товаров.</w:t>
      </w:r>
    </w:p>
    <w:p>
      <w:pPr>
        <w:spacing w:after="120"/>
        <w:ind w:firstLine="567"/>
        <w:jc w:val="both"/>
      </w:pPr>
      <w:r>
        <w:rPr>
          <w:rFonts w:ascii="Arial" w:cs="Arial" w:eastAsia="Arial" w:hAnsi="Arial"/>
          <w:sz w:val="24"/>
          <w:szCs w:val="24"/>
        </w:rPr>
        <w:t xml:space="preserve">В предстоящий период 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120"/>
        <w:ind w:firstLine="567"/>
        <w:jc w:val="both"/>
      </w:pPr>
      <w:r>
        <w:rPr>
          <w:rFonts w:ascii="Arial" w:cs="Arial" w:eastAsia="Arial" w:hAnsi="Arial"/>
          <w:sz w:val="24"/>
          <w:szCs w:val="24"/>
        </w:rPr>
        <w:t xml:space="preserve">В связи с наблюдающимися экономическими вызовами производители социально значимых потребительских товаров государств-членов ЕАЭС будут сталкиваться с трудностями, связанными с прекращением поставок импортируемого сырья и прерыванием существующих логистических цепочек. В целях оказания первоочередных мер поддержки, направленных на повышение устойчивости союза, насыщения внутреннего рынка необходимыми товарами в существующих условиях, а также в целях реализации мер, направленных на повышение устойчивости экономик государств-членов ЕАЭС, будет продолжена работа по снижению ставок таможенных пошлин и установлению тарифной льготы в отношении критических товаров и сырья, используемого в приоритетных промышленных и аграрных отраслях государств-членов ЕАЭС.</w:t>
      </w:r>
    </w:p>
    <w:p>
      <w:pPr>
        <w:spacing w:after="120"/>
        <w:ind w:firstLine="567"/>
        <w:jc w:val="both"/>
      </w:pPr>
      <w:r>
        <w:rPr>
          <w:rFonts w:ascii="Arial" w:cs="Arial" w:eastAsia="Arial" w:hAnsi="Arial"/>
          <w:sz w:val="24"/>
          <w:szCs w:val="24"/>
        </w:rPr>
        <w:t xml:space="preserve">Снижение ввозных пошлин, а также реализация Соглашения ВТО по упрощению процедур торговли окажет положительное влияние на рост объемов импорта и будет стимулировать сокращение "серого" импорта.</w:t>
      </w:r>
    </w:p>
    <w:p>
      <w:pPr>
        <w:spacing w:after="120"/>
        <w:ind w:firstLine="567"/>
        <w:jc w:val="both"/>
      </w:pPr>
      <w:r>
        <w:rPr>
          <w:rFonts w:ascii="Arial" w:cs="Arial" w:eastAsia="Arial" w:hAnsi="Arial"/>
          <w:sz w:val="24"/>
          <w:szCs w:val="24"/>
        </w:rPr>
        <w:t xml:space="preserve">В рамках ЕАЭС продолжаются переговоры по заключению соглашений о зонах свободной торговли с третьими странами: Индонезией, ОАЭ, Египтом, Монголией, а также двустороннего соглашения о торговле услугами и инвестициях между Кыргызской Республикой и Республикой Сингапур.</w:t>
      </w:r>
    </w:p>
    <w:p>
      <w:pPr>
        <w:spacing w:after="120"/>
        <w:ind w:firstLine="567"/>
        <w:jc w:val="both"/>
      </w:pPr>
      <w:r>
        <w:rPr>
          <w:rFonts w:ascii="Arial" w:cs="Arial" w:eastAsia="Arial" w:hAnsi="Arial"/>
          <w:sz w:val="24"/>
          <w:szCs w:val="24"/>
        </w:rPr>
        <w:t xml:space="preserve">В целях предотвращения критического дефицита сырьевых ресурсов и обеспечения промышленных предприятий Кыргызской Республики необходимым сырьем планируется продление запрета на вывоз (экспорт) ряда товаров на срок 6 месяцев. Запрет коснется лома и отходов черных металлов, макулатуры и отходов бумаги, известняка-ракушечника, бывших в употреблении катализаторов и отходов драгоценных металлов, древесины и лесоматериалов, а также драгоценных металлов и сырьевых товаров, содержащих драгоценные металлы. Кроме того, по запросу участников внешнеэкономической деятельности будет проводиться анализ необходимости введения запретов на экспорт отдельных видов товаров и сырья, критически важных для промышленных предприятий страны.</w:t>
      </w:r>
    </w:p>
    <w:p>
      <w:pPr>
        <w:spacing w:after="120"/>
        <w:ind w:firstLine="567"/>
        <w:jc w:val="both"/>
      </w:pPr>
      <w:r>
        <w:rPr>
          <w:rFonts w:ascii="Arial" w:cs="Arial" w:eastAsia="Arial" w:hAnsi="Arial"/>
          <w:sz w:val="24"/>
          <w:szCs w:val="24"/>
        </w:rPr>
        <w:t xml:space="preserve">Усилится работа по интеграции контролируемой продукции, включенной в Национальный контрольный список (далее - НКС), в систему управления рисками (далее - СУР) Государственной таможенной службы. В отношении указанной продукции государством осуществляется контроль, направленный на предотвращение несанкционированного реэкспорта данных товаров за пределы страны. В соответствии с </w:t>
      </w:r>
      <w:hyperlink w:history="1" r:id="rIdkwg4b-nvq9ehjv1ojey6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kknhjvh2os1tmrnbhoh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Национального контрольного списка Кыргызской Республики контролируемой продукции" от 10 февраля 2023 года № 63" от 15 мая 2024 года № 243, для гармонизации нормативных правовых актов в сфере экспортного контроля в НКС Кыргызской Республики были включены 7 продукций военного назначения, подлежащие экспортному контролю.</w:t>
      </w:r>
    </w:p>
    <w:p>
      <w:pPr>
        <w:spacing w:after="120"/>
        <w:ind w:firstLine="567"/>
        <w:jc w:val="both"/>
      </w:pPr>
      <w:r>
        <w:rPr>
          <w:rFonts w:ascii="Arial" w:cs="Arial" w:eastAsia="Arial" w:hAnsi="Arial"/>
          <w:sz w:val="24"/>
          <w:szCs w:val="24"/>
        </w:rPr>
        <w:t xml:space="preserve">Объем внешнеторгового оборота на 2026 год прогнозируется на уровне 17,1 млрд. долл. США, с номинальным ростом уровня 2025 года на 5,2%.</w:t>
      </w:r>
    </w:p>
    <w:p>
      <w:pPr>
        <w:spacing w:after="120"/>
        <w:ind w:firstLine="567"/>
        <w:jc w:val="both"/>
      </w:pPr>
      <w:r>
        <w:rPr>
          <w:rFonts w:ascii="Arial" w:cs="Arial" w:eastAsia="Arial" w:hAnsi="Arial"/>
          <w:sz w:val="24"/>
          <w:szCs w:val="24"/>
        </w:rPr>
        <w:t xml:space="preserve">Объем экспортных поставок прогнозируется в сумме 4,5 млрд. долл. США и увеличится на 14,5% за счет увеличения экспорта цемента на 14,3%, основных металлов - на 8,0%, продукции легкой промышленности - на 15,0%, овощей и фруктов - на 4,8% и др.</w:t>
      </w:r>
    </w:p>
    <w:p>
      <w:pPr>
        <w:spacing w:after="120"/>
        <w:ind w:firstLine="567"/>
        <w:jc w:val="both"/>
      </w:pPr>
      <w:r>
        <w:rPr>
          <w:rFonts w:ascii="Arial" w:cs="Arial" w:eastAsia="Arial" w:hAnsi="Arial"/>
          <w:sz w:val="24"/>
          <w:szCs w:val="24"/>
        </w:rPr>
        <w:t xml:space="preserve">Объем импорта прогнозируется в размере 12,6 млрд. долл. США и рост составит 102,2%. Ожидается увеличение объемов почти по всем основным статьям импорта.</w:t>
      </w:r>
    </w:p>
    <w:p>
      <w:pPr>
        <w:spacing w:after="12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8,0 млрд. долл. США. Это обусловлено сокращением экспорта отдельных видов строительных материалов в соседние страны, которые планируют ввод новых и дальнейшее наращивание мощностей собственного производства. При этом увеличиваются объемы импорта за счет роста мировых цен на нефтепродукты и продовольствие, а также увеличиваются объемы импорта сырьевых товаров для покрытия потребности вновь создаваемых предприятий в легкой промышленности и машиностроении. Кроме того, запланирован до 2027 года ежегодный импорт электроэнергии (в среднем 3,7 млрд. кВт. час) для покрытия дефицита внутреннего потребления.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14</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ВВП по использованию (в % к ВВП)</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3"/>
        <w:gridCol w:w="1337"/>
        <w:gridCol w:w="1337"/>
      </w:tblGrid>
      <w:tr>
        <w:tc>
          <w:tcPr>
            <w:tcW w:type="dxa" w:w="75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r>
      <w:tr>
        <w:tc>
          <w:tcPr>
            <w:vMerge w:val="continue"/>
            <w:tcBorders>
              <w:top w:val="single" w:color="CBBF9E" w:sz="4"/>
              <w:left w:val="single" w:color="CBBF9E" w:sz="4"/>
              <w:bottom w:val="single" w:color="CBBF9E" w:sz="4"/>
              <w:right w:val="single" w:color="CBBF9E" w:sz="4"/>
            </w:tcBorders>
          </w:tcP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Экспорт (товары и услуги)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46,5</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Импорт (товары и услуги)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77,9</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73,0</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Чистый экспорт (товаров и услуг)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w:t>
            </w:r>
          </w:p>
        </w:tc>
      </w:tr>
    </w:tbl>
    <w:p>
      <w:pPr>
        <w:spacing w:after="120" w:before="120"/>
        <w:ind w:firstLine="567"/>
        <w:jc w:val="both"/>
      </w:pPr>
      <w:r>
        <w:rPr>
          <w:rFonts w:ascii="Arial" w:cs="Arial" w:eastAsia="Arial" w:hAnsi="Arial"/>
          <w:sz w:val="24"/>
          <w:szCs w:val="24"/>
        </w:rPr>
        <w:t xml:space="preserve">(*) По методике МВФ.</w:t>
      </w:r>
    </w:p>
    <w:p>
      <w:pPr>
        <w:spacing w:after="120"/>
        <w:ind w:firstLine="567"/>
        <w:jc w:val="both"/>
      </w:pPr>
      <w:r>
        <w:rPr>
          <w:rFonts w:ascii="Arial" w:cs="Arial" w:eastAsia="Arial" w:hAnsi="Arial"/>
          <w:sz w:val="24"/>
          <w:szCs w:val="24"/>
        </w:rPr>
        <w:t xml:space="preserve">В 2026 году структура ВВП по методу конечного использования отражает сохраняющийся акцент на внутреннем спросе, стабильную инвестиционную активность и положительные сдвиги во внешнеторговом балансе.</w:t>
      </w:r>
    </w:p>
    <w:p>
      <w:pPr>
        <w:spacing w:after="120"/>
        <w:ind w:firstLine="567"/>
        <w:jc w:val="both"/>
      </w:pPr>
      <w:r>
        <w:rPr>
          <w:rFonts w:ascii="Arial" w:cs="Arial" w:eastAsia="Arial" w:hAnsi="Arial"/>
          <w:sz w:val="24"/>
          <w:szCs w:val="24"/>
        </w:rPr>
        <w:t xml:space="preserve">Прогнозируется устойчивое расширение внутреннего спроса, обусловленное как ростом доходов населения, так и увеличением инвестиционной активности. Реальный рост конечного потребления ожидается на уровне 4,5%. При этом доля потребления в ВВП снизится до 92,2% по сравнению с ожидаемыми 95,8% в 2025 году, что объясняется опережающими темпами роста инвестиций, а также снижением импортозависимого потребления. Частично такие сдвиги связаны с переориентацией домохозяйств с текущего потребления на сбережения и инвестиции.</w:t>
      </w:r>
    </w:p>
    <w:p>
      <w:pPr>
        <w:spacing w:after="120"/>
        <w:ind w:firstLine="567"/>
        <w:jc w:val="both"/>
      </w:pPr>
      <w:r>
        <w:rPr>
          <w:rFonts w:ascii="Arial" w:cs="Arial" w:eastAsia="Arial" w:hAnsi="Arial"/>
          <w:sz w:val="24"/>
          <w:szCs w:val="24"/>
        </w:rPr>
        <w:t xml:space="preserve">В структуре ВВП доля частного потребления прогнозируется на уровне 77,5%, при темпе роста 5,1%. Увеличение частного потребления будет поддержано ростом денежных доходов населения, расширением доступа к потребительскому кредитованию, улучшением условий на рынке труда и мерами по стимулированию занятости.</w:t>
      </w:r>
    </w:p>
    <w:p>
      <w:pPr>
        <w:spacing w:after="120"/>
        <w:ind w:firstLine="567"/>
        <w:jc w:val="both"/>
      </w:pPr>
      <w:r>
        <w:rPr>
          <w:rFonts w:ascii="Arial" w:cs="Arial" w:eastAsia="Arial" w:hAnsi="Arial"/>
          <w:sz w:val="24"/>
          <w:szCs w:val="24"/>
        </w:rPr>
        <w:t xml:space="preserve">Прогнозируется дальнейшее расширение инвестиционной активности. В 2026 году валовые инвестиции вырастут на 10,5%, их доля в ВВП составит 34,2%. Рост будет обеспечен за счет реализации инфраструктурных и производственных проектов, включая механизмы государственно-частного партнерства, а также активным участием частного сектора. При этом на фоне завершения ряда крупных проектов доля государственных инвестиций от ВВП снизится с 2,5% до 2,0%, в том числе по программам государственных инвестиций (внешним) - с 2,4% до 1,9%. В то же время частные инвестиции демонстрируют положительную динамику, увеличившись с 31,7% до 32,3%, что отражает устойчивую заинтересованность бизнеса в расширении производственного потенциала страны.</w:t>
      </w:r>
    </w:p>
    <w:p>
      <w:pPr>
        <w:spacing w:after="120"/>
        <w:ind w:firstLine="567"/>
        <w:jc w:val="both"/>
      </w:pPr>
      <w:r>
        <w:rPr>
          <w:rFonts w:ascii="Arial" w:cs="Arial" w:eastAsia="Arial" w:hAnsi="Arial"/>
          <w:sz w:val="24"/>
          <w:szCs w:val="24"/>
        </w:rPr>
        <w:t xml:space="preserve">Во внешнеэкономическом секторе также отмечаются благоприятные тенденции. Экспорт товаров и услуг составил 46,5% от ВВП, что немного ниже уровня 2025 года (47,7%). Однако сокращение импорта с 77,9% до 73,0% ВВП позволит сократить отрицательное сальдо чистого экспорта с (-)30,1% до (-)26,5%. Это указывает на постепенное укрепление внутреннего производства и снижение зависимости от импортных поставок.</w:t>
      </w:r>
    </w:p>
    <w:p>
      <w:pPr>
        <w:spacing w:after="240" w:before="200"/>
        <w:jc w:val="center"/>
      </w:pPr>
      <w:r>
        <w:rPr>
          <w:rFonts w:ascii="Arial" w:cs="Arial" w:eastAsia="Arial" w:hAnsi="Arial"/>
          <w:b/>
          <w:bCs/>
          <w:sz w:val="32"/>
          <w:szCs w:val="32"/>
        </w:rPr>
        <w:t xml:space="preserve">Глава 7. Региональное развитие</w:t>
      </w:r>
    </w:p>
    <w:p>
      <w:pPr>
        <w:spacing w:after="120"/>
        <w:ind w:firstLine="567"/>
        <w:jc w:val="both"/>
      </w:pPr>
      <w:r>
        <w:rPr>
          <w:rFonts w:ascii="Arial" w:cs="Arial" w:eastAsia="Arial" w:hAnsi="Arial"/>
          <w:sz w:val="24"/>
          <w:szCs w:val="24"/>
        </w:rPr>
        <w:t xml:space="preserve">Основные направления развития регионов Кыргызской Республики будут осуществляться в рамках реализации Национальной программы развития Кыргызской Республики до 2030 года, </w:t>
      </w:r>
      <w:hyperlink w:history="1" r:id="rIdt1uuccgxa5hzglldcbmp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w:t>
      </w:r>
      <w:hyperlink w:history="1" r:id="rId2pv_gbbae9sl0tneg1dta">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утвержденной </w:t>
      </w:r>
      <w:hyperlink w:history="1" r:id="rIdbfob3y034tvfmyhsnse4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dtqi4jurzi_u6p0plmupl">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от 18 марта 2025 года № 134.</w:t>
      </w:r>
    </w:p>
    <w:p>
      <w:pPr>
        <w:spacing w:after="120"/>
        <w:ind w:firstLine="567"/>
        <w:jc w:val="both"/>
      </w:pPr>
      <w:r>
        <w:rPr>
          <w:rFonts w:ascii="Arial" w:cs="Arial" w:eastAsia="Arial" w:hAnsi="Arial"/>
          <w:sz w:val="24"/>
          <w:szCs w:val="24"/>
        </w:rPr>
        <w:t xml:space="preserve">Развитие регионов направлено на выравнивание социально-экономического уровня территорий, стимулирование экономического роста в регионах, развитие инфраструктуры, повышение инвестиционной привлекательности, модернизацию инфраструктуры, развитие трудового потенциала и обеспечение пространственной связанности территорий.</w:t>
      </w:r>
    </w:p>
    <w:p>
      <w:pPr>
        <w:spacing w:after="120"/>
        <w:ind w:firstLine="567"/>
        <w:jc w:val="both"/>
      </w:pPr>
      <w:r>
        <w:rPr>
          <w:rFonts w:ascii="Arial" w:cs="Arial" w:eastAsia="Arial" w:hAnsi="Arial"/>
          <w:sz w:val="24"/>
          <w:szCs w:val="24"/>
        </w:rPr>
        <w:t xml:space="preserve">Основные задачи регионального развития:</w:t>
      </w:r>
    </w:p>
    <w:p>
      <w:pPr>
        <w:spacing w:after="120"/>
        <w:ind w:firstLine="567"/>
        <w:jc w:val="both"/>
      </w:pPr>
      <w:r>
        <w:rPr>
          <w:rFonts w:ascii="Arial" w:cs="Arial" w:eastAsia="Arial" w:hAnsi="Arial"/>
          <w:sz w:val="24"/>
          <w:szCs w:val="24"/>
        </w:rPr>
        <w:t xml:space="preserve">- формирование опорных центров экономического роста;</w:t>
      </w:r>
    </w:p>
    <w:p>
      <w:pPr>
        <w:spacing w:after="120"/>
        <w:ind w:firstLine="567"/>
        <w:jc w:val="both"/>
      </w:pPr>
      <w:r>
        <w:rPr>
          <w:rFonts w:ascii="Arial" w:cs="Arial" w:eastAsia="Arial" w:hAnsi="Arial"/>
          <w:sz w:val="24"/>
          <w:szCs w:val="24"/>
        </w:rPr>
        <w:t xml:space="preserve">- развитие сельских и приграничных территорий;</w:t>
      </w:r>
    </w:p>
    <w:p>
      <w:pPr>
        <w:spacing w:after="120"/>
        <w:ind w:firstLine="567"/>
        <w:jc w:val="both"/>
      </w:pPr>
      <w:r>
        <w:rPr>
          <w:rFonts w:ascii="Arial" w:cs="Arial" w:eastAsia="Arial" w:hAnsi="Arial"/>
          <w:sz w:val="24"/>
          <w:szCs w:val="24"/>
        </w:rPr>
        <w:t xml:space="preserve">- модернизация и развитие производственной, транспортной, энергетической и социальной инфраструктуры;</w:t>
      </w:r>
    </w:p>
    <w:p>
      <w:pPr>
        <w:spacing w:after="120"/>
        <w:ind w:firstLine="567"/>
        <w:jc w:val="both"/>
      </w:pPr>
      <w:r>
        <w:rPr>
          <w:rFonts w:ascii="Arial" w:cs="Arial" w:eastAsia="Arial" w:hAnsi="Arial"/>
          <w:sz w:val="24"/>
          <w:szCs w:val="24"/>
        </w:rPr>
        <w:t xml:space="preserve">- стимулирование предпринимательской активности и привлечение инвестиций в регионы;</w:t>
      </w:r>
    </w:p>
    <w:p>
      <w:pPr>
        <w:spacing w:after="120"/>
        <w:ind w:firstLine="567"/>
        <w:jc w:val="both"/>
      </w:pPr>
      <w:r>
        <w:rPr>
          <w:rFonts w:ascii="Arial" w:cs="Arial" w:eastAsia="Arial" w:hAnsi="Arial"/>
          <w:sz w:val="24"/>
          <w:szCs w:val="24"/>
        </w:rPr>
        <w:t xml:space="preserve">- оптимизация системы территориального управления;</w:t>
      </w:r>
    </w:p>
    <w:p>
      <w:pPr>
        <w:spacing w:after="120"/>
        <w:ind w:firstLine="567"/>
        <w:jc w:val="both"/>
      </w:pPr>
      <w:r>
        <w:rPr>
          <w:rFonts w:ascii="Arial" w:cs="Arial" w:eastAsia="Arial" w:hAnsi="Arial"/>
          <w:sz w:val="24"/>
          <w:szCs w:val="24"/>
        </w:rPr>
        <w:t xml:space="preserve">- развитие человеческого капитала на местах.</w:t>
      </w:r>
    </w:p>
    <w:p>
      <w:pPr>
        <w:spacing w:after="120"/>
        <w:ind w:firstLine="567"/>
        <w:jc w:val="both"/>
      </w:pPr>
      <w:r>
        <w:rPr>
          <w:rFonts w:ascii="Arial" w:cs="Arial" w:eastAsia="Arial" w:hAnsi="Arial"/>
          <w:sz w:val="24"/>
          <w:szCs w:val="24"/>
        </w:rPr>
        <w:t xml:space="preserve">Продолжится административно-территориальная реформа, обусловленная необходимостью рационализации и оптимизации территориального устройства, сокращения дублирования функций управления на местах, укрупнения (консолидации) административно-территориальных единиц, оказания качественных, доступных услуг населению на основе рационального использования социально-экономического и природно-ресурсного потенциала регионов, повышения эффективности работы органов местного самоуправления, реализации структурных изменений в системе управления.</w:t>
      </w:r>
    </w:p>
    <w:p>
      <w:pPr>
        <w:spacing w:after="120"/>
        <w:ind w:firstLine="567"/>
        <w:jc w:val="both"/>
      </w:pPr>
      <w:r>
        <w:rPr>
          <w:rFonts w:ascii="Arial" w:cs="Arial" w:eastAsia="Arial" w:hAnsi="Arial"/>
          <w:sz w:val="24"/>
          <w:szCs w:val="24"/>
        </w:rPr>
        <w:t xml:space="preserve">В целях законодательного закрепления организации нового административно-территориального устройства, обеспечивающего реформирование системы управления в Кыргызской Республике, принят </w:t>
      </w:r>
      <w:hyperlink w:history="1" r:id="rIdmqefoknq5p9dt6qahiq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административно-территориальных единицах на уровне айылных аймаков и городов Кыргызской Республики", которым утверждены административно-территориальные единицы во всех регионах страны по результатам административно-территориальной реформы. Данным </w:t>
      </w:r>
      <w:hyperlink w:history="1" r:id="rIdmucvvir6tvqxh48vz9n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образованы и утверждены административные границы 231 объединенного айылного аймака и 33 городов республиканского, областного и районного значения согласно карте-схеме и описанию границ.</w:t>
      </w:r>
    </w:p>
    <w:p>
      <w:pPr>
        <w:spacing w:after="120"/>
        <w:ind w:firstLine="567"/>
        <w:jc w:val="both"/>
      </w:pPr>
      <w:r>
        <w:rPr>
          <w:rFonts w:ascii="Arial" w:cs="Arial" w:eastAsia="Arial" w:hAnsi="Arial"/>
          <w:sz w:val="24"/>
          <w:szCs w:val="24"/>
        </w:rPr>
        <w:t xml:space="preserve">В рамках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во временное руководство пилотных местных государственных администраций" от 15 ноября 2024 года № 326, в целях повышения эффективности управления и улучшения координации на местах проводится работа по реализации пилотного проекта по передаче временного руководства территориальными подразделениями министерств и ведомств местным государственным администрациям. Реализация данной меры приведет к оперативному принятию решений на местах, повышению ответственности органов местной власти, оптимизации управления и улучшению качества предоставляемых государственных услуг.</w:t>
      </w:r>
    </w:p>
    <w:p>
      <w:pPr>
        <w:spacing w:after="120"/>
        <w:ind w:firstLine="567"/>
        <w:jc w:val="both"/>
      </w:pPr>
      <w:r>
        <w:rPr>
          <w:rFonts w:ascii="Arial" w:cs="Arial" w:eastAsia="Arial" w:hAnsi="Arial"/>
          <w:sz w:val="24"/>
          <w:szCs w:val="24"/>
        </w:rPr>
        <w:t xml:space="preserve">Развитие инициатив местных сообществ осуществляется через </w:t>
      </w:r>
      <w:hyperlink w:history="1" r:id="rIdrf6f_mx4lilfojnx-1k9j">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государственного субсидирования инициатив местного сообщества на 2024-2027 годы, утвержденную </w:t>
      </w:r>
      <w:hyperlink w:history="1" r:id="rIdmtuv2be8j0m-tmbukh_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r_5ekg9-sz1ktrnx6ci3o">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государственного субсидирования инициатив местного сообщества Кыргызской Республики на 2024-2027 годы" от 25 сентября 2024 года № 586, которая предусматривает поддержку проектных инициатив граждан в сферах социальной инфраструктуры, образования, здравоохранения и предпринимательства.</w:t>
      </w:r>
    </w:p>
    <w:p>
      <w:pPr>
        <w:spacing w:after="120"/>
        <w:ind w:firstLine="567"/>
        <w:jc w:val="both"/>
      </w:pPr>
      <w:r>
        <w:rPr>
          <w:rFonts w:ascii="Arial" w:cs="Arial" w:eastAsia="Arial" w:hAnsi="Arial"/>
          <w:sz w:val="24"/>
          <w:szCs w:val="24"/>
        </w:rPr>
        <w:t xml:space="preserve">В целях обеспечения комплексного развития Баткенской области Кыргызской Республики проводится активная работа по реализации Программы развития Баткенской области Кыргызской Республики на 2021-2035 годы, утвержденной постановлением Кабинета Министров Кыргызской Республики от 1 сентября 2021 года № 159 ДСП, в соответствии с Планом мероприятий Кабинета Министров Кыргызской Республики на 2025-2027 годы по исполнению Дорожной карты по реализации Программы развития Баткенской области на 2021-2035 годы, утвержденной распоряжением Кабинета Министров Кыргызской Республики от 20 февраля 2024 года № 94-р.</w:t>
      </w:r>
    </w:p>
    <w:p>
      <w:pPr>
        <w:spacing w:after="120"/>
        <w:ind w:firstLine="567"/>
        <w:jc w:val="both"/>
      </w:pPr>
      <w:r>
        <w:rPr>
          <w:rFonts w:ascii="Arial" w:cs="Arial" w:eastAsia="Arial" w:hAnsi="Arial"/>
          <w:sz w:val="24"/>
          <w:szCs w:val="24"/>
        </w:rPr>
        <w:t xml:space="preserve">Средства в республиканском бюджете, предусмотренные на развитие Баткенской области на 2021-2035 годы, будут направляться в соответствии с </w:t>
      </w:r>
      <w:hyperlink w:history="1" r:id="rIdx74opqcwape8n2h4o5xvj">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использования средств, утвержденным </w:t>
      </w:r>
      <w:hyperlink w:history="1" r:id="rIdgvjsfhlr9y3ksnusr3h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ec3jvh_sgq6x7nzkwujoc">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использования средств, предусмотренных в республиканском бюджете на реализацию Программы развития Баткенской области на 2021-2035 годы" от 24 марта 2023 года № 166, в котором предусмотрена процедура отбора проектов, реализация которых будет профинансирована за счет ежегодно выделяемых средств в соответствии с </w:t>
      </w:r>
      <w:hyperlink w:history="1" r:id="rIdxo3yxcjn1ikvhqrh8xh2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Баткенской области".</w:t>
      </w:r>
    </w:p>
    <w:p>
      <w:pPr>
        <w:spacing w:after="120"/>
        <w:ind w:firstLine="567"/>
        <w:jc w:val="both"/>
      </w:pPr>
      <w:r>
        <w:rPr>
          <w:rFonts w:ascii="Arial" w:cs="Arial" w:eastAsia="Arial" w:hAnsi="Arial"/>
          <w:sz w:val="24"/>
          <w:szCs w:val="24"/>
        </w:rPr>
        <w:t xml:space="preserve">Реализация мероприятий региональной политики обеспечит достижение устойчивого экономического роста всех регионов, повышение качества жизни населения, сокращение бедности в приграничных и сельских районах, развитие транспортной, энергетической и социальной инфраструктуры, увеличение вклада регионов в валовый внутренний продукт страны, стимулирование предпринимательской активности, создание новых рабочих мест и укрепление социальной стабильности на всей территории Кыргызской Республики.</w:t>
      </w:r>
    </w:p>
    <w:p>
      <w:pPr>
        <w:spacing w:after="120"/>
        <w:ind w:firstLine="567"/>
        <w:jc w:val="both"/>
      </w:pPr>
      <w:r>
        <w:rPr>
          <w:rFonts w:ascii="Arial" w:cs="Arial" w:eastAsia="Arial" w:hAnsi="Arial"/>
          <w:sz w:val="24"/>
          <w:szCs w:val="24"/>
        </w:rPr>
        <w:t xml:space="preserve">В региональном разрезе основная доля производства ВВП на 2026 год по оценке будет обеспечиваться за счет функционирования экономики города Бишкек, Чуйской, Ошской, Иссык-Кульской и Джалал-Абадской областей, с удельным весом 85,3%. Значительные доли в общем объеме производства ВВП указанных областей связаны с тем, что на территории Джалал-Абадской области производится около 90,0%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предприятия как Аффинажный завод, по разработке месторождения Талды-Булак Левобережный (ОсОО "Алтынкен"), НПЗ "Джунда", завод листового стекла ОсОО "Интергласс", ОАО "Кантский цементный завод", ОсОО "Умут и Ко", и в городе Бишкек (49,2%) расположены крупные предприятия, сосредоточен малый и средний бизнес, а также большинство крупных рынков. С введением в эксплуатацию месторождения Джеруй в Таласской области наращиваются объемы валовой продукции. Оставшаяся часть доли будет распределена между другими областями: Баткенской, Нарынской, Таласской и городом Ош с удельным весом на уровне 14,7%.</w:t>
      </w:r>
    </w:p>
    <w:p>
      <w:pPr>
        <w:spacing w:after="120"/>
        <w:ind w:firstLine="567"/>
        <w:jc w:val="both"/>
      </w:pPr>
      <w:r>
        <w:rPr>
          <w:rFonts w:ascii="Arial" w:cs="Arial" w:eastAsia="Arial" w:hAnsi="Arial"/>
          <w:sz w:val="24"/>
          <w:szCs w:val="24"/>
        </w:rPr>
        <w:t xml:space="preserve">В региональном разрезе прогнозируется рост объемов производства во всех секторах экономики:</w:t>
      </w:r>
    </w:p>
    <w:p>
      <w:pPr>
        <w:spacing w:after="120"/>
        <w:ind w:firstLine="567"/>
        <w:jc w:val="both"/>
      </w:pPr>
      <w:r>
        <w:rPr>
          <w:rFonts w:ascii="Arial" w:cs="Arial" w:eastAsia="Arial" w:hAnsi="Arial"/>
          <w:sz w:val="24"/>
          <w:szCs w:val="24"/>
        </w:rPr>
        <w:t xml:space="preserve">- в сельском хозяйстве основную долю будут занимать Чуйская (27,4%), Иссык-Кульская (12,2%), Ошской (17,5%), Джалал-Абадская (19,4%) области;</w:t>
      </w:r>
    </w:p>
    <w:p>
      <w:pPr>
        <w:spacing w:after="120"/>
        <w:ind w:firstLine="567"/>
        <w:jc w:val="both"/>
      </w:pPr>
      <w:r>
        <w:rPr>
          <w:rFonts w:ascii="Arial" w:cs="Arial" w:eastAsia="Arial" w:hAnsi="Arial"/>
          <w:sz w:val="24"/>
          <w:szCs w:val="24"/>
        </w:rPr>
        <w:t xml:space="preserve">- в промышленности основную долю будут занимать Иссык-Кульская (15,2%), Чуйская (48,0%), Джалал-Абадская (9,4%) области и город Бишкек (14,8%);</w:t>
      </w:r>
    </w:p>
    <w:p>
      <w:pPr>
        <w:spacing w:after="120"/>
        <w:ind w:firstLine="567"/>
        <w:jc w:val="both"/>
      </w:pPr>
      <w:r>
        <w:rPr>
          <w:rFonts w:ascii="Arial" w:cs="Arial" w:eastAsia="Arial" w:hAnsi="Arial"/>
          <w:sz w:val="24"/>
          <w:szCs w:val="24"/>
        </w:rPr>
        <w:t xml:space="preserve">- в строительстве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(35,2%), Чуйская (10,3%), Джалал-Абадская (16,6%) и Иссык-Кульская (14,7%) области;</w:t>
      </w:r>
    </w:p>
    <w:p>
      <w:pPr>
        <w:spacing w:after="120"/>
        <w:ind w:firstLine="567"/>
        <w:jc w:val="both"/>
      </w:pPr>
      <w:r>
        <w:rPr>
          <w:rFonts w:ascii="Arial" w:cs="Arial" w:eastAsia="Arial" w:hAnsi="Arial"/>
          <w:sz w:val="24"/>
          <w:szCs w:val="24"/>
        </w:rPr>
        <w:t xml:space="preserve">- в сфере услуг прогнозируется рост объемов во всех регионах, где основную долю будут занимать города Бишкек (54,4%) и Ош (6,4%), Чуйская (10,3%), Ошская (7,0%), Джалал-Абадская области (9,7%).</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Вклады регионов в производство ВВП</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8"/>
        <w:gridCol w:w="1278"/>
        <w:gridCol w:w="1278"/>
        <w:gridCol w:w="1278"/>
        <w:gridCol w:w="1278"/>
        <w:gridCol w:w="1278"/>
        <w:gridCol w:w="1278"/>
      </w:tblGrid>
      <w:tr>
        <w:tc>
          <w:tcPr>
            <w:tcW w:type="dxa" w:w="25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5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51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вклад в рост ВВП, в %</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 и городам:</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54667,2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60854,7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179596,9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204639,3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0,89</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146625,2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164328,0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42605,6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53492,8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119406,0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134725,4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54560,1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60365,2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253976,1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276580,8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833230,4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982252,1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95053,7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129780,8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Социальная сфера</w:t>
      </w:r>
    </w:p>
    <w:p>
      <w:pPr>
        <w:spacing w:after="120"/>
        <w:ind w:firstLine="567"/>
        <w:jc w:val="both"/>
      </w:pPr>
      <w:r>
        <w:rPr>
          <w:rFonts w:ascii="Arial" w:cs="Arial" w:eastAsia="Arial" w:hAnsi="Arial"/>
          <w:sz w:val="24"/>
          <w:szCs w:val="24"/>
        </w:rPr>
        <w:t xml:space="preserve">Политика социального обеспечения в среднесрочной перспективе,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(дети и семьи в трудной жизненной ситуации (ТЖС), лица с инвалидностью, пожилые граждане), с учетом реальных возможностей государства.</w:t>
      </w:r>
    </w:p>
    <w:p>
      <w:pPr>
        <w:spacing w:after="120"/>
        <w:ind w:firstLine="567"/>
        <w:jc w:val="both"/>
      </w:pPr>
      <w:r>
        <w:rPr>
          <w:rFonts w:ascii="Arial" w:cs="Arial" w:eastAsia="Arial" w:hAnsi="Arial"/>
          <w:sz w:val="24"/>
          <w:szCs w:val="24"/>
        </w:rPr>
        <w:t xml:space="preserve">Основное внимание будет направлено на вопросы укрепления и развития института семьи; на поддержку материнства, отцовства и детства; на создание условий для социализации и интеграции семей и детей, находящихся в ТЖС, в общество; на внедрение комплекса мер, направленных на защиту прав и улучшение условий жизни пожилых людей.</w:t>
      </w:r>
    </w:p>
    <w:p>
      <w:pPr>
        <w:spacing w:after="120"/>
        <w:ind w:firstLine="567"/>
        <w:jc w:val="both"/>
      </w:pPr>
      <w:r>
        <w:rPr>
          <w:rFonts w:ascii="Arial" w:cs="Arial" w:eastAsia="Arial" w:hAnsi="Arial"/>
          <w:sz w:val="24"/>
          <w:szCs w:val="24"/>
        </w:rPr>
        <w:t xml:space="preserve">Планируется поэтапно изменить подходы к определению и решению проблем инвалидности в соответствии с международными стандартами и нормами. Также усилия будут направлены на обеспечение доступа социально незащищенных категорий граждан к реабилитационным и социальным услугам на основе современных цифровых технологий.</w:t>
      </w:r>
    </w:p>
    <w:p>
      <w:pPr>
        <w:spacing w:after="120"/>
        <w:ind w:firstLine="567"/>
        <w:jc w:val="both"/>
      </w:pPr>
      <w:r>
        <w:rPr>
          <w:rFonts w:ascii="Arial" w:cs="Arial" w:eastAsia="Arial" w:hAnsi="Arial"/>
          <w:sz w:val="24"/>
          <w:szCs w:val="24"/>
        </w:rPr>
        <w:t xml:space="preserve">Будет продолжена работа по оказанию социальной помощи малоимущим и малообеспеченным семьям на основе социального контракта.</w:t>
      </w:r>
    </w:p>
    <w:p>
      <w:pPr>
        <w:spacing w:after="120"/>
        <w:ind w:firstLine="567"/>
        <w:jc w:val="both"/>
      </w:pPr>
      <w:r>
        <w:rPr>
          <w:rFonts w:ascii="Arial" w:cs="Arial" w:eastAsia="Arial" w:hAnsi="Arial"/>
          <w:sz w:val="24"/>
          <w:szCs w:val="24"/>
        </w:rPr>
        <w:t xml:space="preserve">В сфере труда и содействия занятости населения в среднесрочной перспективе основными направлениями являются:</w:t>
      </w:r>
    </w:p>
    <w:p>
      <w:pPr>
        <w:spacing w:after="120"/>
        <w:ind w:firstLine="567"/>
        <w:jc w:val="both"/>
      </w:pPr>
      <w:r>
        <w:rPr>
          <w:rFonts w:ascii="Arial" w:cs="Arial" w:eastAsia="Arial" w:hAnsi="Arial"/>
          <w:sz w:val="24"/>
          <w:szCs w:val="24"/>
        </w:rPr>
        <w:t xml:space="preserve">- принятие программы обеспечения достойным трудом (достойная заработная плата, достойная занятость, социальное партнерство);</w:t>
      </w:r>
    </w:p>
    <w:p>
      <w:pPr>
        <w:spacing w:after="120"/>
        <w:ind w:firstLine="567"/>
        <w:jc w:val="both"/>
      </w:pPr>
      <w:r>
        <w:rPr>
          <w:rFonts w:ascii="Arial" w:cs="Arial" w:eastAsia="Arial" w:hAnsi="Arial"/>
          <w:sz w:val="24"/>
          <w:szCs w:val="24"/>
        </w:rPr>
        <w:t xml:space="preserve">- совершенствование норм законодательства Кыргызской Республики в сфере труда и трудовых отношений, в том числе по охране и безопасности труда, условий труда, содействия занятости населения;</w:t>
      </w:r>
    </w:p>
    <w:p>
      <w:pPr>
        <w:spacing w:after="120"/>
        <w:ind w:firstLine="567"/>
        <w:jc w:val="both"/>
      </w:pPr>
      <w:r>
        <w:rPr>
          <w:rFonts w:ascii="Arial" w:cs="Arial" w:eastAsia="Arial" w:hAnsi="Arial"/>
          <w:sz w:val="24"/>
          <w:szCs w:val="24"/>
        </w:rPr>
        <w:t xml:space="preserve">- создание условий для развития новых форм занятости населения, а также внедрения инновационных платформ/методов, направленных на трудоустройство и обучение безработных граждан;</w:t>
      </w:r>
    </w:p>
    <w:p>
      <w:pPr>
        <w:spacing w:after="120"/>
        <w:ind w:firstLine="567"/>
        <w:jc w:val="both"/>
      </w:pPr>
      <w:r>
        <w:rPr>
          <w:rFonts w:ascii="Arial" w:cs="Arial" w:eastAsia="Arial" w:hAnsi="Arial"/>
          <w:sz w:val="24"/>
          <w:szCs w:val="24"/>
        </w:rPr>
        <w:t xml:space="preserve">- принятие мер по улучшению профессиональной подготовки и переквалификации кадров на основе национальной рамки квалификаций. Также будет активизирована работа по повышению качества прогнозирования рынка труда;</w:t>
      </w:r>
    </w:p>
    <w:p>
      <w:pPr>
        <w:spacing w:after="120"/>
        <w:ind w:firstLine="567"/>
        <w:jc w:val="both"/>
      </w:pPr>
      <w:r>
        <w:rPr>
          <w:rFonts w:ascii="Arial" w:cs="Arial" w:eastAsia="Arial" w:hAnsi="Arial"/>
          <w:sz w:val="24"/>
          <w:szCs w:val="24"/>
        </w:rPr>
        <w:t xml:space="preserve">- цифровизация трудовых отношений и системы содействия занятости населения.</w:t>
      </w:r>
    </w:p>
    <w:p>
      <w:pPr>
        <w:spacing w:after="120"/>
        <w:ind w:firstLine="567"/>
        <w:jc w:val="both"/>
      </w:pPr>
      <w:r>
        <w:rPr>
          <w:rFonts w:ascii="Arial" w:cs="Arial" w:eastAsia="Arial" w:hAnsi="Arial"/>
          <w:sz w:val="24"/>
          <w:szCs w:val="24"/>
        </w:rPr>
        <w:t xml:space="preserve">Основные направления деятельности в сфере миграции определены в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годы" от 4 мая 2021 года № 191 (далее - Концепция).</w:t>
      </w:r>
    </w:p>
    <w:p>
      <w:pPr>
        <w:spacing w:after="120"/>
        <w:ind w:firstLine="567"/>
        <w:jc w:val="both"/>
      </w:pPr>
      <w:r>
        <w:rPr>
          <w:rFonts w:ascii="Arial" w:cs="Arial" w:eastAsia="Arial" w:hAnsi="Arial"/>
          <w:sz w:val="24"/>
          <w:szCs w:val="24"/>
        </w:rPr>
        <w:t xml:space="preserve">Будут реализованы конкретные меры по расширению географии трудовой миграции, поддержке граждан в укреплении их конкурентоспособности, обеспечению их правовой и экономической безопасности в странах трудовой миграции. Также будут созданы условия трудовым мигрантам и соотечественникам для добровольного инвестирования заработанных средств в экономику страны.</w:t>
      </w:r>
    </w:p>
    <w:p>
      <w:pPr>
        <w:spacing w:after="120"/>
        <w:ind w:firstLine="567"/>
        <w:jc w:val="both"/>
      </w:pPr>
      <w:r>
        <w:rPr>
          <w:rFonts w:ascii="Arial" w:cs="Arial" w:eastAsia="Arial" w:hAnsi="Arial"/>
          <w:sz w:val="24"/>
          <w:szCs w:val="24"/>
        </w:rPr>
        <w:t xml:space="preserve">Будут приняты меры по созданию благоприятных условий для приема этнических кыргызов, переселившихся в Кыргызскую Республику, и их интеграции в общество.</w:t>
      </w:r>
    </w:p>
    <w:p>
      <w:pPr>
        <w:spacing w:after="120"/>
        <w:ind w:firstLine="567"/>
        <w:jc w:val="both"/>
      </w:pPr>
      <w:r>
        <w:rPr>
          <w:rFonts w:ascii="Arial" w:cs="Arial" w:eastAsia="Arial" w:hAnsi="Arial"/>
          <w:sz w:val="24"/>
          <w:szCs w:val="24"/>
        </w:rPr>
        <w:t xml:space="preserve">В рамках очередного этапа реформирования пенсионной системы в целях построения эффективной и действенной системы социального страхования и пенсионного обеспечения, способной обеспечивать достаточный жизненный уровень пожилых граждан, поддерживать финансовую устойчивость пенсионной системы, а также способствовать усилению страховых принципов, Законом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государственном пенсионном социальном страховании</w:t>
      </w:r>
      <w:r>
        <w:rPr>
          <w:rFonts w:ascii="Arial" w:cs="Arial" w:eastAsia="Arial" w:hAnsi="Arial"/>
          <w:sz w:val="24"/>
          <w:szCs w:val="24"/>
        </w:rPr>
        <w:t xml:space="preserve">",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приняты меры по совершенствованию пенсионной политики, такие как:</w:t>
      </w:r>
    </w:p>
    <w:p>
      <w:pPr>
        <w:spacing w:after="120"/>
        <w:ind w:firstLine="567"/>
        <w:jc w:val="both"/>
      </w:pPr>
      <w:r>
        <w:rPr>
          <w:rFonts w:ascii="Arial" w:cs="Arial" w:eastAsia="Arial" w:hAnsi="Arial"/>
          <w:sz w:val="24"/>
          <w:szCs w:val="24"/>
        </w:rPr>
        <w:t xml:space="preserve">1) назначение базовой части пенсии в полном размере;</w:t>
      </w:r>
    </w:p>
    <w:p>
      <w:pPr>
        <w:spacing w:after="120"/>
        <w:ind w:firstLine="567"/>
        <w:jc w:val="both"/>
      </w:pPr>
      <w:r>
        <w:rPr>
          <w:rFonts w:ascii="Arial" w:cs="Arial" w:eastAsia="Arial" w:hAnsi="Arial"/>
          <w:sz w:val="24"/>
          <w:szCs w:val="24"/>
        </w:rPr>
        <w:t xml:space="preserve">2) упрощение процедуры назначения и расчета величины первой страховой части пенсии (за стаж до 1996 года);</w:t>
      </w:r>
    </w:p>
    <w:p>
      <w:pPr>
        <w:spacing w:after="120"/>
        <w:ind w:firstLine="567"/>
        <w:jc w:val="both"/>
      </w:pPr>
      <w:r>
        <w:rPr>
          <w:rFonts w:ascii="Arial" w:cs="Arial" w:eastAsia="Arial" w:hAnsi="Arial"/>
          <w:sz w:val="24"/>
          <w:szCs w:val="24"/>
        </w:rPr>
        <w:t xml:space="preserve">3) установление в полном размере страховых частей пенсии для инвалидов III группы;</w:t>
      </w:r>
    </w:p>
    <w:p>
      <w:pPr>
        <w:spacing w:after="120"/>
        <w:ind w:firstLine="567"/>
        <w:jc w:val="both"/>
      </w:pPr>
      <w:r>
        <w:rPr>
          <w:rFonts w:ascii="Arial" w:cs="Arial" w:eastAsia="Arial" w:hAnsi="Arial"/>
          <w:sz w:val="24"/>
          <w:szCs w:val="24"/>
        </w:rPr>
        <w:t xml:space="preserve">4) для пенсий по потере кормильца:</w:t>
      </w:r>
    </w:p>
    <w:p>
      <w:pPr>
        <w:spacing w:after="120"/>
        <w:ind w:firstLine="567"/>
        <w:jc w:val="both"/>
      </w:pPr>
      <w:r>
        <w:rPr>
          <w:rFonts w:ascii="Arial" w:cs="Arial" w:eastAsia="Arial" w:hAnsi="Arial"/>
          <w:sz w:val="24"/>
          <w:szCs w:val="24"/>
        </w:rPr>
        <w:t xml:space="preserve">- увеличение предельного возраста, дающего право на пенсию по потере кормильца без истребования документов об обучении с 16 до 18 лет;</w:t>
      </w:r>
    </w:p>
    <w:p>
      <w:pPr>
        <w:spacing w:after="120"/>
        <w:ind w:firstLine="567"/>
        <w:jc w:val="both"/>
      </w:pPr>
      <w:r>
        <w:rPr>
          <w:rFonts w:ascii="Arial" w:cs="Arial" w:eastAsia="Arial" w:hAnsi="Arial"/>
          <w:sz w:val="24"/>
          <w:szCs w:val="24"/>
        </w:rPr>
        <w:t xml:space="preserve">- предоставление права на пенсию не только по очной, но и по заочной форме обучения;</w:t>
      </w:r>
    </w:p>
    <w:p>
      <w:pPr>
        <w:spacing w:after="120"/>
        <w:ind w:firstLine="567"/>
        <w:jc w:val="both"/>
      </w:pPr>
      <w:r>
        <w:rPr>
          <w:rFonts w:ascii="Arial" w:cs="Arial" w:eastAsia="Arial" w:hAnsi="Arial"/>
          <w:sz w:val="24"/>
          <w:szCs w:val="24"/>
        </w:rPr>
        <w:t xml:space="preserve">5) сохранение надбавок, установленных ранее с учетом районного коэффициента при переезде пенсионера в населенный пункт, где не установлен районный коэффициент;</w:t>
      </w:r>
    </w:p>
    <w:p>
      <w:pPr>
        <w:spacing w:after="120"/>
        <w:ind w:firstLine="567"/>
        <w:jc w:val="both"/>
      </w:pPr>
      <w:r>
        <w:rPr>
          <w:rFonts w:ascii="Arial" w:cs="Arial" w:eastAsia="Arial" w:hAnsi="Arial"/>
          <w:sz w:val="24"/>
          <w:szCs w:val="24"/>
        </w:rPr>
        <w:t xml:space="preserve">6) увеличение с 3 до 5 лет срока, за который могут выплачиваться начисленные суммы пенсии за прошлое время, не востребованные пенсионером своевременно;</w:t>
      </w:r>
    </w:p>
    <w:p>
      <w:pPr>
        <w:spacing w:after="120"/>
        <w:ind w:firstLine="567"/>
        <w:jc w:val="both"/>
      </w:pPr>
      <w:r>
        <w:rPr>
          <w:rFonts w:ascii="Arial" w:cs="Arial" w:eastAsia="Arial" w:hAnsi="Arial"/>
          <w:sz w:val="24"/>
          <w:szCs w:val="24"/>
        </w:rPr>
        <w:t xml:space="preserve">7) отмена досрочных пенсий с уменьшением размера пенсии и без уменьшения;</w:t>
      </w:r>
    </w:p>
    <w:p>
      <w:pPr>
        <w:spacing w:after="120"/>
        <w:ind w:firstLine="567"/>
        <w:jc w:val="both"/>
      </w:pPr>
      <w:r>
        <w:rPr>
          <w:rFonts w:ascii="Arial" w:cs="Arial" w:eastAsia="Arial" w:hAnsi="Arial"/>
          <w:sz w:val="24"/>
          <w:szCs w:val="24"/>
        </w:rPr>
        <w:t xml:space="preserve">8) поэтапное введение страхового стажа, необходимого для получения права на пенсию, с 5 лет в 2024 году до 20 лет в 2045 году без изменения пенсионного возраста;</w:t>
      </w:r>
    </w:p>
    <w:p>
      <w:pPr>
        <w:spacing w:after="120"/>
        <w:ind w:firstLine="567"/>
        <w:jc w:val="both"/>
      </w:pPr>
      <w:r>
        <w:rPr>
          <w:rFonts w:ascii="Arial" w:cs="Arial" w:eastAsia="Arial" w:hAnsi="Arial"/>
          <w:sz w:val="24"/>
          <w:szCs w:val="24"/>
        </w:rPr>
        <w:t xml:space="preserve">9) освобождение крестьяно-фермерских хозяйств (далее - КФХ) до 1 га от уплаты страховых взносов с предоставлением права на добровольную уплату страховых взносов.</w:t>
      </w:r>
    </w:p>
    <w:p>
      <w:pPr>
        <w:spacing w:after="120"/>
        <w:ind w:firstLine="567"/>
        <w:jc w:val="both"/>
      </w:pPr>
      <w:r>
        <w:rPr>
          <w:rFonts w:ascii="Arial" w:cs="Arial" w:eastAsia="Arial" w:hAnsi="Arial"/>
          <w:sz w:val="24"/>
          <w:szCs w:val="24"/>
        </w:rPr>
        <w:t xml:space="preserve">В то же время для КФХ, владеющих свыше 1 га - 6% от усеченной среднемесячной заработной платы как для индивидуального предпринимателя (данный пункт вступит в силу с 1 июня 2025 года).</w:t>
      </w:r>
    </w:p>
    <w:p>
      <w:pPr>
        <w:spacing w:after="120"/>
        <w:ind w:firstLine="567"/>
        <w:jc w:val="both"/>
      </w:pPr>
      <w:r>
        <w:rPr>
          <w:rFonts w:ascii="Arial" w:cs="Arial" w:eastAsia="Arial" w:hAnsi="Arial"/>
          <w:sz w:val="24"/>
          <w:szCs w:val="24"/>
        </w:rPr>
        <w:t xml:space="preserve">Политика развития здравоохранения Кыргызской Республики будет направлена на укрепление общественного здоровья, создание условий для активного долголетия граждан и продолжение проведения реформ в медицинской отрасли. Основные усилия будут сосредоточены на оптимизации управления и повышении эффективности оказания медицинской помощи, включая развитие первичного звена здравоохранения. Особый приоритет отдан охране материнства и детства: будут расширены программы профилактики, ранней диагностики и специализированной помощи, в том числе в отдаленных населенных пунктах. Меры направлены на создание устойчивой, технологичной и социально ориентированной системы здравоохранения, доступной для всех граждан страны.</w:t>
      </w:r>
    </w:p>
    <w:p>
      <w:pPr>
        <w:spacing w:after="120"/>
        <w:ind w:firstLine="567"/>
        <w:jc w:val="both"/>
      </w:pPr>
      <w:r>
        <w:rPr>
          <w:rFonts w:ascii="Arial" w:cs="Arial" w:eastAsia="Arial" w:hAnsi="Arial"/>
          <w:sz w:val="24"/>
          <w:szCs w:val="24"/>
        </w:rPr>
        <w:t xml:space="preserve">Политика проводится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Кыргызской Республики по охране здоровья и развитию системы здравоохранения на 2019-2030 годы "Здоровый человек - процветающая страна",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 В данной Программе основной фокус сделан на достижение устойчивого прогресса по повышению роли службы общественного здравоохранения с усилением профилактических мероприятий, усиление службы первичной медико-санитарной помощи (далее - ПМСП), улучшением доступности и качества предоставления медицинской помощи в стационарах, внедрением электронных технологий в здравоохранение.</w:t>
      </w:r>
    </w:p>
    <w:p>
      <w:pPr>
        <w:spacing w:after="120"/>
        <w:ind w:firstLine="567"/>
        <w:jc w:val="both"/>
      </w:pPr>
      <w:r>
        <w:rPr>
          <w:rFonts w:ascii="Arial" w:cs="Arial" w:eastAsia="Arial" w:hAnsi="Arial"/>
          <w:sz w:val="24"/>
          <w:szCs w:val="24"/>
        </w:rPr>
        <w:t xml:space="preserve">Главные усилия в сфере здравоохранения будут направлены на решение следующих приоритетных задач:</w:t>
      </w:r>
    </w:p>
    <w:p>
      <w:pPr>
        <w:spacing w:after="120"/>
        <w:ind w:firstLine="567"/>
        <w:jc w:val="both"/>
      </w:pPr>
      <w:r>
        <w:rPr>
          <w:rFonts w:ascii="Arial" w:cs="Arial" w:eastAsia="Arial" w:hAnsi="Arial"/>
          <w:sz w:val="24"/>
          <w:szCs w:val="24"/>
        </w:rPr>
        <w:t xml:space="preserve">1) увеличение охвата населения ПМСП до 90% за счет расширения спектра услуг, увеличения финансирования ПМСП и внедрения новых методов профилактической работы;</w:t>
      </w:r>
    </w:p>
    <w:p>
      <w:pPr>
        <w:spacing w:after="120"/>
        <w:ind w:firstLine="567"/>
        <w:jc w:val="both"/>
      </w:pPr>
      <w:r>
        <w:rPr>
          <w:rFonts w:ascii="Arial" w:cs="Arial" w:eastAsia="Arial" w:hAnsi="Arial"/>
          <w:sz w:val="24"/>
          <w:szCs w:val="24"/>
        </w:rPr>
        <w:t xml:space="preserve">2) усиление профилактических мероприятий, включая реализацию программ по раннему выявлению и лечению неинфекционных заболеваний, что позволит сократить показатели смертности;</w:t>
      </w:r>
    </w:p>
    <w:p>
      <w:pPr>
        <w:spacing w:after="120"/>
        <w:ind w:firstLine="567"/>
        <w:jc w:val="both"/>
      </w:pPr>
      <w:r>
        <w:rPr>
          <w:rFonts w:ascii="Arial" w:cs="Arial" w:eastAsia="Arial" w:hAnsi="Arial"/>
          <w:sz w:val="24"/>
          <w:szCs w:val="24"/>
        </w:rPr>
        <w:t xml:space="preserve">3) оптимизация подходов к вакцинации для снижения риска эпидемий, включая увеличение охвата вакцинацией детей до 1 года (до 95%);</w:t>
      </w:r>
    </w:p>
    <w:p>
      <w:pPr>
        <w:spacing w:after="120"/>
        <w:ind w:firstLine="567"/>
        <w:jc w:val="both"/>
      </w:pPr>
      <w:r>
        <w:rPr>
          <w:rFonts w:ascii="Arial" w:cs="Arial" w:eastAsia="Arial" w:hAnsi="Arial"/>
          <w:sz w:val="24"/>
          <w:szCs w:val="24"/>
        </w:rPr>
        <w:t xml:space="preserve">4) развитие инфраструктуры здравоохранения:</w:t>
      </w:r>
    </w:p>
    <w:p>
      <w:pPr>
        <w:spacing w:after="120"/>
        <w:ind w:firstLine="567"/>
        <w:jc w:val="both"/>
      </w:pPr>
      <w:r>
        <w:rPr>
          <w:rFonts w:ascii="Arial" w:cs="Arial" w:eastAsia="Arial" w:hAnsi="Arial"/>
          <w:sz w:val="24"/>
          <w:szCs w:val="24"/>
        </w:rPr>
        <w:t xml:space="preserve">- завершение строительства перинатальных центров и многопрофильных больниц в регионах (на основании текущих программ);</w:t>
      </w:r>
    </w:p>
    <w:p>
      <w:pPr>
        <w:spacing w:after="120"/>
        <w:ind w:firstLine="567"/>
        <w:jc w:val="both"/>
      </w:pPr>
      <w:r>
        <w:rPr>
          <w:rFonts w:ascii="Arial" w:cs="Arial" w:eastAsia="Arial" w:hAnsi="Arial"/>
          <w:sz w:val="24"/>
          <w:szCs w:val="24"/>
        </w:rPr>
        <w:t xml:space="preserve">- проведение капитального ремонта организаций здравоохранения, оснащение их современным оборудованием;</w:t>
      </w:r>
    </w:p>
    <w:p>
      <w:pPr>
        <w:spacing w:after="120"/>
        <w:ind w:firstLine="567"/>
        <w:jc w:val="both"/>
      </w:pPr>
      <w:r>
        <w:rPr>
          <w:rFonts w:ascii="Arial" w:cs="Arial" w:eastAsia="Arial" w:hAnsi="Arial"/>
          <w:sz w:val="24"/>
          <w:szCs w:val="24"/>
        </w:rPr>
        <w:t xml:space="preserve">- создание дополнительных мобильных клиник для обеспечения доступности медицинских услуг в отдаленных районах;</w:t>
      </w:r>
    </w:p>
    <w:p>
      <w:pPr>
        <w:spacing w:after="120"/>
        <w:ind w:firstLine="567"/>
        <w:jc w:val="both"/>
      </w:pPr>
      <w:r>
        <w:rPr>
          <w:rFonts w:ascii="Arial" w:cs="Arial" w:eastAsia="Arial" w:hAnsi="Arial"/>
          <w:sz w:val="24"/>
          <w:szCs w:val="24"/>
        </w:rPr>
        <w:t xml:space="preserve">5) цифровизация здравоохранения:</w:t>
      </w:r>
    </w:p>
    <w:p>
      <w:pPr>
        <w:spacing w:after="120"/>
        <w:ind w:firstLine="567"/>
        <w:jc w:val="both"/>
      </w:pPr>
      <w:r>
        <w:rPr>
          <w:rFonts w:ascii="Arial" w:cs="Arial" w:eastAsia="Arial" w:hAnsi="Arial"/>
          <w:sz w:val="24"/>
          <w:szCs w:val="24"/>
        </w:rPr>
        <w:t xml:space="preserve">- внедрение электронных медицинских карт в 100% организаций ПМСП к 2030 году;</w:t>
      </w:r>
    </w:p>
    <w:p>
      <w:pPr>
        <w:spacing w:after="120"/>
        <w:ind w:firstLine="567"/>
        <w:jc w:val="both"/>
      </w:pPr>
      <w:r>
        <w:rPr>
          <w:rFonts w:ascii="Arial" w:cs="Arial" w:eastAsia="Arial" w:hAnsi="Arial"/>
          <w:sz w:val="24"/>
          <w:szCs w:val="24"/>
        </w:rPr>
        <w:t xml:space="preserve">- увеличение доли использования телемедицины до 50% в отдаленных регионах;</w:t>
      </w:r>
    </w:p>
    <w:p>
      <w:pPr>
        <w:spacing w:after="120"/>
        <w:ind w:firstLine="567"/>
        <w:jc w:val="both"/>
      </w:pPr>
      <w:r>
        <w:rPr>
          <w:rFonts w:ascii="Arial" w:cs="Arial" w:eastAsia="Arial" w:hAnsi="Arial"/>
          <w:sz w:val="24"/>
          <w:szCs w:val="24"/>
        </w:rPr>
        <w:t xml:space="preserve">- автоматизация управления очередями в стационарах и поликлиниках для повышения комфорта пациентов.</w:t>
      </w:r>
    </w:p>
    <w:p>
      <w:pPr>
        <w:spacing w:after="120"/>
        <w:ind w:firstLine="567"/>
        <w:jc w:val="both"/>
      </w:pPr>
      <w:r>
        <w:rPr>
          <w:rFonts w:ascii="Arial" w:cs="Arial" w:eastAsia="Arial" w:hAnsi="Arial"/>
          <w:sz w:val="24"/>
          <w:szCs w:val="24"/>
        </w:rPr>
        <w:t xml:space="preserve">Политика развития системы образования Кыргызской Республики на среднесрочный период направлена на создание устойчивой, современной и доступной образовательной среды, ориентированной на формирование высококвалифицированного человеческого капитала.</w:t>
      </w:r>
    </w:p>
    <w:p>
      <w:pPr>
        <w:spacing w:after="120"/>
        <w:ind w:firstLine="567"/>
        <w:jc w:val="both"/>
      </w:pPr>
      <w:r>
        <w:rPr>
          <w:rFonts w:ascii="Arial" w:cs="Arial" w:eastAsia="Arial" w:hAnsi="Arial"/>
          <w:sz w:val="24"/>
          <w:szCs w:val="24"/>
        </w:rPr>
        <w:t xml:space="preserve">Система образования будет развиваться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развития образования в Кыргызской Республике на 2021-2040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развития образования в Кыргызской Республике на 2021-2040 годы" от 4 мая 2021 года № 200.</w:t>
      </w:r>
    </w:p>
    <w:p>
      <w:pPr>
        <w:spacing w:after="120"/>
        <w:ind w:firstLine="567"/>
        <w:jc w:val="both"/>
      </w:pPr>
      <w:r>
        <w:rPr>
          <w:rFonts w:ascii="Arial" w:cs="Arial" w:eastAsia="Arial" w:hAnsi="Arial"/>
          <w:sz w:val="24"/>
          <w:szCs w:val="24"/>
        </w:rPr>
        <w:t xml:space="preserve">Дошкольное образование играет ключевую роль в формировании базовых навыков и подготовке детей к обучению в школе. Основное внимание будет направлено на увеличение охвата дошкольным образованием и повышение его качества посредством следующих мер:</w:t>
      </w:r>
    </w:p>
    <w:p>
      <w:pPr>
        <w:spacing w:after="120"/>
        <w:ind w:firstLine="567"/>
        <w:jc w:val="both"/>
      </w:pPr>
      <w:r>
        <w:rPr>
          <w:rFonts w:ascii="Arial" w:cs="Arial" w:eastAsia="Arial" w:hAnsi="Arial"/>
          <w:sz w:val="24"/>
          <w:szCs w:val="24"/>
        </w:rPr>
        <w:t xml:space="preserve">- открытие 100 новых краткосрочных детских садов;</w:t>
      </w:r>
    </w:p>
    <w:p>
      <w:pPr>
        <w:spacing w:after="120"/>
        <w:ind w:firstLine="567"/>
        <w:jc w:val="both"/>
      </w:pPr>
      <w:r>
        <w:rPr>
          <w:rFonts w:ascii="Arial" w:cs="Arial" w:eastAsia="Arial" w:hAnsi="Arial"/>
          <w:sz w:val="24"/>
          <w:szCs w:val="24"/>
        </w:rPr>
        <w:t xml:space="preserve">- трансформация 570 действующих детских садов для увеличения охвата;</w:t>
      </w:r>
    </w:p>
    <w:p>
      <w:pPr>
        <w:spacing w:after="120"/>
        <w:ind w:firstLine="567"/>
        <w:jc w:val="both"/>
      </w:pPr>
      <w:r>
        <w:rPr>
          <w:rFonts w:ascii="Arial" w:cs="Arial" w:eastAsia="Arial" w:hAnsi="Arial"/>
          <w:sz w:val="24"/>
          <w:szCs w:val="24"/>
        </w:rPr>
        <w:t xml:space="preserve">- расширение программы "Правительственного акселератора" в регионах;</w:t>
      </w:r>
    </w:p>
    <w:p>
      <w:pPr>
        <w:spacing w:after="120"/>
        <w:ind w:firstLine="567"/>
        <w:jc w:val="both"/>
      </w:pPr>
      <w:r>
        <w:rPr>
          <w:rFonts w:ascii="Arial" w:cs="Arial" w:eastAsia="Arial" w:hAnsi="Arial"/>
          <w:sz w:val="24"/>
          <w:szCs w:val="24"/>
        </w:rPr>
        <w:t xml:space="preserve">- пилотное тестирование механизма ваучерного финансирования для детей из малообеспеченных семей;</w:t>
      </w:r>
    </w:p>
    <w:p>
      <w:pPr>
        <w:spacing w:after="120"/>
        <w:ind w:firstLine="567"/>
        <w:jc w:val="both"/>
      </w:pPr>
      <w:r>
        <w:rPr>
          <w:rFonts w:ascii="Arial" w:cs="Arial" w:eastAsia="Arial" w:hAnsi="Arial"/>
          <w:sz w:val="24"/>
          <w:szCs w:val="24"/>
        </w:rPr>
        <w:t xml:space="preserve">- разработка и внедрение нового Государственного стандарта дошкольного образования;</w:t>
      </w:r>
    </w:p>
    <w:p>
      <w:pPr>
        <w:spacing w:after="120"/>
        <w:ind w:firstLine="567"/>
        <w:jc w:val="both"/>
      </w:pPr>
      <w:r>
        <w:rPr>
          <w:rFonts w:ascii="Arial" w:cs="Arial" w:eastAsia="Arial" w:hAnsi="Arial"/>
          <w:sz w:val="24"/>
          <w:szCs w:val="24"/>
        </w:rPr>
        <w:t xml:space="preserve">- обновление программы дошкольного образования "Балалык" (для детей 3-5 лет);</w:t>
      </w:r>
    </w:p>
    <w:p>
      <w:pPr>
        <w:spacing w:after="120"/>
        <w:ind w:firstLine="567"/>
        <w:jc w:val="both"/>
      </w:pPr>
      <w:r>
        <w:rPr>
          <w:rFonts w:ascii="Arial" w:cs="Arial" w:eastAsia="Arial" w:hAnsi="Arial"/>
          <w:sz w:val="24"/>
          <w:szCs w:val="24"/>
        </w:rPr>
        <w:t xml:space="preserve">- разработка инструментов мониторинга качества дошкольного образования и проведение национального исследования по оценке развития маленьких детей.</w:t>
      </w:r>
    </w:p>
    <w:p>
      <w:pPr>
        <w:spacing w:after="120"/>
        <w:ind w:firstLine="567"/>
        <w:jc w:val="both"/>
      </w:pPr>
      <w:r>
        <w:rPr>
          <w:rFonts w:ascii="Arial" w:cs="Arial" w:eastAsia="Arial" w:hAnsi="Arial"/>
          <w:sz w:val="24"/>
          <w:szCs w:val="24"/>
        </w:rPr>
        <w:t xml:space="preserve">На уровне школьного образования основная линия реформ будет ориентирована на создание новой образовательной парадигмы, основанной на 12-летнем школьном обучении:</w:t>
      </w:r>
    </w:p>
    <w:p>
      <w:pPr>
        <w:spacing w:after="120"/>
        <w:ind w:firstLine="567"/>
        <w:jc w:val="both"/>
      </w:pPr>
      <w:r>
        <w:rPr>
          <w:rFonts w:ascii="Arial" w:cs="Arial" w:eastAsia="Arial" w:hAnsi="Arial"/>
          <w:sz w:val="24"/>
          <w:szCs w:val="24"/>
        </w:rPr>
        <w:t xml:space="preserve">- это означает 100% охват шестилетних детей обучением в школе;</w:t>
      </w:r>
    </w:p>
    <w:p>
      <w:pPr>
        <w:spacing w:after="120"/>
        <w:ind w:firstLine="567"/>
        <w:jc w:val="both"/>
      </w:pPr>
      <w:r>
        <w:rPr>
          <w:rFonts w:ascii="Arial" w:cs="Arial" w:eastAsia="Arial" w:hAnsi="Arial"/>
          <w:sz w:val="24"/>
          <w:szCs w:val="24"/>
        </w:rPr>
        <w:t xml:space="preserve">- профильное и профессиональное образование в старшей школе;</w:t>
      </w:r>
    </w:p>
    <w:p>
      <w:pPr>
        <w:spacing w:after="120"/>
        <w:ind w:firstLine="567"/>
        <w:jc w:val="both"/>
      </w:pPr>
      <w:r>
        <w:rPr>
          <w:rFonts w:ascii="Arial" w:cs="Arial" w:eastAsia="Arial" w:hAnsi="Arial"/>
          <w:sz w:val="24"/>
          <w:szCs w:val="24"/>
        </w:rPr>
        <w:t xml:space="preserve">- переход к учебным программам, ориентированным на развитие критического мышления, решение проблем и адаптацию;</w:t>
      </w:r>
    </w:p>
    <w:p>
      <w:pPr>
        <w:spacing w:after="120"/>
        <w:ind w:firstLine="567"/>
        <w:jc w:val="both"/>
      </w:pPr>
      <w:r>
        <w:rPr>
          <w:rFonts w:ascii="Arial" w:cs="Arial" w:eastAsia="Arial" w:hAnsi="Arial"/>
          <w:sz w:val="24"/>
          <w:szCs w:val="24"/>
        </w:rPr>
        <w:t xml:space="preserve">- развитие дистанционных образовательных платформ с доступом к качественным учебным материалам на кыргызском, русском и других языках;</w:t>
      </w:r>
    </w:p>
    <w:p>
      <w:pPr>
        <w:spacing w:after="120"/>
        <w:ind w:firstLine="567"/>
        <w:jc w:val="both"/>
      </w:pPr>
      <w:r>
        <w:rPr>
          <w:rFonts w:ascii="Arial" w:cs="Arial" w:eastAsia="Arial" w:hAnsi="Arial"/>
          <w:sz w:val="24"/>
          <w:szCs w:val="24"/>
        </w:rPr>
        <w:t xml:space="preserve">- проектное и командное обучение, в рамках которого студенты работают с реальными проблемами и вызовами;</w:t>
      </w:r>
    </w:p>
    <w:p>
      <w:pPr>
        <w:spacing w:after="120"/>
        <w:ind w:firstLine="567"/>
        <w:jc w:val="both"/>
      </w:pPr>
      <w:r>
        <w:rPr>
          <w:rFonts w:ascii="Arial" w:cs="Arial" w:eastAsia="Arial" w:hAnsi="Arial"/>
          <w:sz w:val="24"/>
          <w:szCs w:val="24"/>
        </w:rPr>
        <w:t xml:space="preserve">- использование интерактивных панелей, образовательных приложений и технологий виртуальной реальности;</w:t>
      </w:r>
    </w:p>
    <w:p>
      <w:pPr>
        <w:spacing w:after="120"/>
        <w:ind w:firstLine="567"/>
        <w:jc w:val="both"/>
      </w:pPr>
      <w:r>
        <w:rPr>
          <w:rFonts w:ascii="Arial" w:cs="Arial" w:eastAsia="Arial" w:hAnsi="Arial"/>
          <w:sz w:val="24"/>
          <w:szCs w:val="24"/>
        </w:rPr>
        <w:t xml:space="preserve">- обучение учителей современным технологиям, чтобы они могли эффективно внедрять их в учебный процесс;</w:t>
      </w:r>
    </w:p>
    <w:p>
      <w:pPr>
        <w:spacing w:after="120"/>
        <w:ind w:firstLine="567"/>
        <w:jc w:val="both"/>
      </w:pPr>
      <w:r>
        <w:rPr>
          <w:rFonts w:ascii="Arial" w:cs="Arial" w:eastAsia="Arial" w:hAnsi="Arial"/>
          <w:sz w:val="24"/>
          <w:szCs w:val="24"/>
        </w:rPr>
        <w:t xml:space="preserve">- создание наставнических схем, при которых опытные учителя поддерживают новых педагогов;</w:t>
      </w:r>
    </w:p>
    <w:p>
      <w:pPr>
        <w:spacing w:after="120"/>
        <w:ind w:firstLine="567"/>
        <w:jc w:val="both"/>
      </w:pPr>
      <w:r>
        <w:rPr>
          <w:rFonts w:ascii="Arial" w:cs="Arial" w:eastAsia="Arial" w:hAnsi="Arial"/>
          <w:sz w:val="24"/>
          <w:szCs w:val="24"/>
        </w:rPr>
        <w:t xml:space="preserve">- стимулы, основанные на результативности работы: внедрение оценки эффективности деятельности.</w:t>
      </w:r>
    </w:p>
    <w:p>
      <w:pPr>
        <w:spacing w:after="120"/>
        <w:ind w:firstLine="567"/>
        <w:jc w:val="both"/>
      </w:pPr>
      <w:r>
        <w:rPr>
          <w:rFonts w:ascii="Arial" w:cs="Arial" w:eastAsia="Arial" w:hAnsi="Arial"/>
          <w:sz w:val="24"/>
          <w:szCs w:val="24"/>
        </w:rPr>
        <w:t xml:space="preserve">На уровне школьного образования будут реализованы следующие мероприятия:</w:t>
      </w:r>
    </w:p>
    <w:p>
      <w:pPr>
        <w:spacing w:after="120"/>
        <w:ind w:firstLine="567"/>
        <w:jc w:val="both"/>
      </w:pPr>
      <w:r>
        <w:rPr>
          <w:rFonts w:ascii="Arial" w:cs="Arial" w:eastAsia="Arial" w:hAnsi="Arial"/>
          <w:sz w:val="24"/>
          <w:szCs w:val="24"/>
        </w:rPr>
        <w:t xml:space="preserve">- разработка нового образовательного стандарта для 12-летнего школьного обучения, а также предметных стандартов начального, основного и среднего общего образования;</w:t>
      </w:r>
    </w:p>
    <w:p>
      <w:pPr>
        <w:spacing w:after="120"/>
        <w:ind w:firstLine="567"/>
        <w:jc w:val="both"/>
      </w:pPr>
      <w:r>
        <w:rPr>
          <w:rFonts w:ascii="Arial" w:cs="Arial" w:eastAsia="Arial" w:hAnsi="Arial"/>
          <w:sz w:val="24"/>
          <w:szCs w:val="24"/>
        </w:rPr>
        <w:t xml:space="preserve">- разработка новых модулей повышения квалификации педагогических кадров на всех уровнях образования;</w:t>
      </w:r>
    </w:p>
    <w:p>
      <w:pPr>
        <w:spacing w:after="120"/>
        <w:ind w:firstLine="567"/>
        <w:jc w:val="both"/>
      </w:pPr>
      <w:r>
        <w:rPr>
          <w:rFonts w:ascii="Arial" w:cs="Arial" w:eastAsia="Arial" w:hAnsi="Arial"/>
          <w:sz w:val="24"/>
          <w:szCs w:val="24"/>
        </w:rPr>
        <w:t xml:space="preserve">- информационное сопровождение внедрения 12-летнего образования, создание штаба для мониторинга динамики его реализации;</w:t>
      </w:r>
    </w:p>
    <w:p>
      <w:pPr>
        <w:spacing w:after="120"/>
        <w:ind w:firstLine="567"/>
        <w:jc w:val="both"/>
      </w:pPr>
      <w:r>
        <w:rPr>
          <w:rFonts w:ascii="Arial" w:cs="Arial" w:eastAsia="Arial" w:hAnsi="Arial"/>
          <w:sz w:val="24"/>
          <w:szCs w:val="24"/>
        </w:rPr>
        <w:t xml:space="preserve">- обеспечение школ современными учебниками;</w:t>
      </w:r>
    </w:p>
    <w:p>
      <w:pPr>
        <w:spacing w:after="120"/>
        <w:ind w:firstLine="567"/>
        <w:jc w:val="both"/>
      </w:pPr>
      <w:r>
        <w:rPr>
          <w:rFonts w:ascii="Arial" w:cs="Arial" w:eastAsia="Arial" w:hAnsi="Arial"/>
          <w:sz w:val="24"/>
          <w:szCs w:val="24"/>
        </w:rPr>
        <w:t xml:space="preserve">- мониторинг качества школьного образования (создан новый департамент по развитию качества образования), включая реализацию программы PISA - 2025 (на базе 180-250 школ);</w:t>
      </w:r>
    </w:p>
    <w:p>
      <w:pPr>
        <w:spacing w:after="120"/>
        <w:ind w:firstLine="567"/>
        <w:jc w:val="both"/>
      </w:pPr>
      <w:r>
        <w:rPr>
          <w:rFonts w:ascii="Arial" w:cs="Arial" w:eastAsia="Arial" w:hAnsi="Arial"/>
          <w:sz w:val="24"/>
          <w:szCs w:val="24"/>
        </w:rPr>
        <w:t xml:space="preserve">- комплексная методическая поддержка учителей - реформирование методических центров на уровне областей, городов и районов;</w:t>
      </w:r>
    </w:p>
    <w:p>
      <w:pPr>
        <w:spacing w:after="120"/>
        <w:ind w:firstLine="567"/>
        <w:jc w:val="both"/>
      </w:pPr>
      <w:r>
        <w:rPr>
          <w:rFonts w:ascii="Arial" w:cs="Arial" w:eastAsia="Arial" w:hAnsi="Arial"/>
          <w:sz w:val="24"/>
          <w:szCs w:val="24"/>
        </w:rPr>
        <w:t xml:space="preserve">- укрепление воспитательной работы с учащимися школ на основе ценностей кыргызской нации, национальных традиций, предотвращения дискриминации, осознанной ответственности, бережного отношения и подготовки к будущему, с акцентом на активное участие в школьной жизни.</w:t>
      </w:r>
    </w:p>
    <w:p>
      <w:pPr>
        <w:spacing w:after="120"/>
        <w:ind w:firstLine="567"/>
        <w:jc w:val="both"/>
      </w:pPr>
      <w:r>
        <w:rPr>
          <w:rFonts w:ascii="Arial" w:cs="Arial" w:eastAsia="Arial" w:hAnsi="Arial"/>
          <w:sz w:val="24"/>
          <w:szCs w:val="24"/>
        </w:rPr>
        <w:t xml:space="preserve">Основные задачи на уровне начального профессионального образования:</w:t>
      </w:r>
    </w:p>
    <w:p>
      <w:pPr>
        <w:spacing w:after="120"/>
        <w:ind w:firstLine="567"/>
        <w:jc w:val="both"/>
      </w:pPr>
      <w:r>
        <w:rPr>
          <w:rFonts w:ascii="Arial" w:cs="Arial" w:eastAsia="Arial" w:hAnsi="Arial"/>
          <w:sz w:val="24"/>
          <w:szCs w:val="24"/>
        </w:rPr>
        <w:t xml:space="preserve">- совершенствование нормативно-правовой базы для развития начального профессионального образования;</w:t>
      </w:r>
    </w:p>
    <w:p>
      <w:pPr>
        <w:spacing w:after="120"/>
        <w:ind w:firstLine="567"/>
        <w:jc w:val="both"/>
      </w:pPr>
      <w:r>
        <w:rPr>
          <w:rFonts w:ascii="Arial" w:cs="Arial" w:eastAsia="Arial" w:hAnsi="Arial"/>
          <w:sz w:val="24"/>
          <w:szCs w:val="24"/>
        </w:rPr>
        <w:t xml:space="preserve">- проведение краткосрочных курсов по наиболее востребованным профессиям с охватом дополнительно 10 тысяч человек;</w:t>
      </w:r>
    </w:p>
    <w:p>
      <w:pPr>
        <w:spacing w:after="120"/>
        <w:ind w:firstLine="567"/>
        <w:jc w:val="both"/>
      </w:pPr>
      <w:r>
        <w:rPr>
          <w:rFonts w:ascii="Arial" w:cs="Arial" w:eastAsia="Arial" w:hAnsi="Arial"/>
          <w:sz w:val="24"/>
          <w:szCs w:val="24"/>
        </w:rPr>
        <w:t xml:space="preserve">- развитие информационной системы обучения рабочим профессиям;</w:t>
      </w:r>
    </w:p>
    <w:p>
      <w:pPr>
        <w:spacing w:after="120"/>
        <w:ind w:firstLine="567"/>
        <w:jc w:val="both"/>
      </w:pPr>
      <w:r>
        <w:rPr>
          <w:rFonts w:ascii="Arial" w:cs="Arial" w:eastAsia="Arial" w:hAnsi="Arial"/>
          <w:sz w:val="24"/>
          <w:szCs w:val="24"/>
        </w:rPr>
        <w:t xml:space="preserve">- повышение квалификации преподавателей по специальным дисциплинам;</w:t>
      </w:r>
    </w:p>
    <w:p>
      <w:pPr>
        <w:spacing w:after="120"/>
        <w:ind w:firstLine="567"/>
        <w:jc w:val="both"/>
      </w:pPr>
      <w:r>
        <w:rPr>
          <w:rFonts w:ascii="Arial" w:cs="Arial" w:eastAsia="Arial" w:hAnsi="Arial"/>
          <w:sz w:val="24"/>
          <w:szCs w:val="24"/>
        </w:rPr>
        <w:t xml:space="preserve">- проведение чемпионатов по рабочим профессиям в формате WorldSkills (с охватом 15% учащихся);</w:t>
      </w:r>
    </w:p>
    <w:p>
      <w:pPr>
        <w:spacing w:after="120"/>
        <w:ind w:firstLine="567"/>
        <w:jc w:val="both"/>
      </w:pPr>
      <w:r>
        <w:rPr>
          <w:rFonts w:ascii="Arial" w:cs="Arial" w:eastAsia="Arial" w:hAnsi="Arial"/>
          <w:sz w:val="24"/>
          <w:szCs w:val="24"/>
        </w:rPr>
        <w:t xml:space="preserve">- развитие дуального обучения на базе 65 профессиональных лицеев, обучение на рабочем месте и укрепление взаимодействия с работодателями;</w:t>
      </w:r>
    </w:p>
    <w:p>
      <w:pPr>
        <w:spacing w:after="120"/>
        <w:ind w:firstLine="567"/>
        <w:jc w:val="both"/>
      </w:pPr>
      <w:r>
        <w:rPr>
          <w:rFonts w:ascii="Arial" w:cs="Arial" w:eastAsia="Arial" w:hAnsi="Arial"/>
          <w:sz w:val="24"/>
          <w:szCs w:val="24"/>
        </w:rPr>
        <w:t xml:space="preserve">- независимая сертификация и валидация.</w:t>
      </w:r>
    </w:p>
    <w:p>
      <w:pPr>
        <w:spacing w:after="120"/>
        <w:ind w:firstLine="567"/>
        <w:jc w:val="both"/>
      </w:pPr>
      <w:r>
        <w:rPr>
          <w:rFonts w:ascii="Arial" w:cs="Arial" w:eastAsia="Arial" w:hAnsi="Arial"/>
          <w:sz w:val="24"/>
          <w:szCs w:val="24"/>
        </w:rPr>
        <w:t xml:space="preserve">Основные планы по среднему профессиональному и высшему профессиональному образованию:</w:t>
      </w:r>
    </w:p>
    <w:p>
      <w:pPr>
        <w:spacing w:after="120"/>
        <w:ind w:firstLine="567"/>
        <w:jc w:val="both"/>
      </w:pPr>
      <w:r>
        <w:rPr>
          <w:rFonts w:ascii="Arial" w:cs="Arial" w:eastAsia="Arial" w:hAnsi="Arial"/>
          <w:sz w:val="24"/>
          <w:szCs w:val="24"/>
        </w:rPr>
        <w:t xml:space="preserve">- создание центров передового опыта в колледжах;</w:t>
      </w:r>
    </w:p>
    <w:p>
      <w:pPr>
        <w:spacing w:after="120"/>
        <w:ind w:firstLine="567"/>
        <w:jc w:val="both"/>
      </w:pPr>
      <w:r>
        <w:rPr>
          <w:rFonts w:ascii="Arial" w:cs="Arial" w:eastAsia="Arial" w:hAnsi="Arial"/>
          <w:sz w:val="24"/>
          <w:szCs w:val="24"/>
        </w:rPr>
        <w:t xml:space="preserve">- пилотное ваучерное финансирование в колледжах и вузах;</w:t>
      </w:r>
    </w:p>
    <w:p>
      <w:pPr>
        <w:spacing w:after="120"/>
        <w:ind w:firstLine="567"/>
        <w:jc w:val="both"/>
      </w:pPr>
      <w:r>
        <w:rPr>
          <w:rFonts w:ascii="Arial" w:cs="Arial" w:eastAsia="Arial" w:hAnsi="Arial"/>
          <w:sz w:val="24"/>
          <w:szCs w:val="24"/>
        </w:rPr>
        <w:t xml:space="preserve">- обеспечение вертикальных и горизонтальных связей - "профессиональный лицей - колледж - вуз";</w:t>
      </w:r>
    </w:p>
    <w:p>
      <w:pPr>
        <w:spacing w:after="120"/>
        <w:ind w:firstLine="567"/>
        <w:jc w:val="both"/>
      </w:pPr>
      <w:r>
        <w:rPr>
          <w:rFonts w:ascii="Arial" w:cs="Arial" w:eastAsia="Arial" w:hAnsi="Arial"/>
          <w:sz w:val="24"/>
          <w:szCs w:val="24"/>
        </w:rPr>
        <w:t xml:space="preserve">- укрупнение направлений подготовки в среднем профессиональном и высшем образовании;</w:t>
      </w:r>
    </w:p>
    <w:p>
      <w:pPr>
        <w:spacing w:after="120"/>
        <w:ind w:firstLine="567"/>
        <w:jc w:val="both"/>
      </w:pPr>
      <w:r>
        <w:rPr>
          <w:rFonts w:ascii="Arial" w:cs="Arial" w:eastAsia="Arial" w:hAnsi="Arial"/>
          <w:sz w:val="24"/>
          <w:szCs w:val="24"/>
        </w:rPr>
        <w:t xml:space="preserve">- дуальное обучение, стимулирующее развитие молодежного предпринимательства - стартап-проекты;</w:t>
      </w:r>
    </w:p>
    <w:p>
      <w:pPr>
        <w:spacing w:after="120"/>
        <w:ind w:firstLine="567"/>
        <w:jc w:val="both"/>
      </w:pPr>
      <w:r>
        <w:rPr>
          <w:rFonts w:ascii="Arial" w:cs="Arial" w:eastAsia="Arial" w:hAnsi="Arial"/>
          <w:sz w:val="24"/>
          <w:szCs w:val="24"/>
        </w:rPr>
        <w:t xml:space="preserve">- национальные рейтинги высших учебных заведений и колледжей;</w:t>
      </w:r>
    </w:p>
    <w:p>
      <w:pPr>
        <w:spacing w:after="120"/>
        <w:ind w:firstLine="567"/>
        <w:jc w:val="both"/>
      </w:pPr>
      <w:r>
        <w:rPr>
          <w:rFonts w:ascii="Arial" w:cs="Arial" w:eastAsia="Arial" w:hAnsi="Arial"/>
          <w:sz w:val="24"/>
          <w:szCs w:val="24"/>
        </w:rPr>
        <w:t xml:space="preserve">- трансформация высшего профессионального образования в модель "Университет 4.0". Международные научные исследования. Поддержка интеллектуальной молодежи;</w:t>
      </w:r>
    </w:p>
    <w:p>
      <w:pPr>
        <w:spacing w:after="120"/>
        <w:ind w:firstLine="567"/>
        <w:jc w:val="both"/>
      </w:pPr>
      <w:r>
        <w:rPr>
          <w:rFonts w:ascii="Arial" w:cs="Arial" w:eastAsia="Arial" w:hAnsi="Arial"/>
          <w:sz w:val="24"/>
          <w:szCs w:val="24"/>
        </w:rPr>
        <w:t xml:space="preserve">- создание 5 инновационных хабов на базе вузов с особым статусом;</w:t>
      </w:r>
    </w:p>
    <w:p>
      <w:pPr>
        <w:spacing w:after="120"/>
        <w:ind w:firstLine="567"/>
        <w:jc w:val="both"/>
      </w:pPr>
      <w:r>
        <w:rPr>
          <w:rFonts w:ascii="Arial" w:cs="Arial" w:eastAsia="Arial" w:hAnsi="Arial"/>
          <w:sz w:val="24"/>
          <w:szCs w:val="24"/>
        </w:rPr>
        <w:t xml:space="preserve">- формирование инновационного фонда в размере 4 млн. долларов США для развития вузов.</w:t>
      </w:r>
    </w:p>
    <w:p>
      <w:pPr>
        <w:spacing w:after="120"/>
        <w:ind w:firstLine="567"/>
        <w:jc w:val="both"/>
      </w:pPr>
      <w:r>
        <w:rPr>
          <w:rFonts w:ascii="Arial" w:cs="Arial" w:eastAsia="Arial" w:hAnsi="Arial"/>
          <w:sz w:val="24"/>
          <w:szCs w:val="24"/>
        </w:rPr>
        <w:t xml:space="preserve">В рамках науки и научно-технической политики на 2024-2028 годы определены приоритеты, включающие исследования в области истории Кыргызстана и кыргызского языка, сельского хозяйства, биологической и продовольственной безопасности, зеленой экономики, здравоохранения и качества жизни человека, цифровой трансформации и др. Особое внимание уделено вопросам изменения климата, экологическим инициативам, устойчивому управлению природными ресурсами и зеленому финансированию (включая обмен внешнего долга на "зеленые" инициативы).</w:t>
      </w:r>
    </w:p>
    <w:p>
      <w:pPr>
        <w:spacing w:after="120"/>
        <w:ind w:firstLine="567"/>
        <w:jc w:val="both"/>
      </w:pPr>
      <w:r>
        <w:rPr>
          <w:rFonts w:ascii="Arial" w:cs="Arial" w:eastAsia="Arial" w:hAnsi="Arial"/>
          <w:sz w:val="24"/>
          <w:szCs w:val="24"/>
        </w:rPr>
        <w:t xml:space="preserve">На уровне цифровизации системы образования основным достижением прошлого года стало цифровое преобразование трех ключевых реестров в системе образования: реестра учащихся, реестра учителей и реестра образовательных учреждений.</w:t>
      </w:r>
    </w:p>
    <w:p>
      <w:pPr>
        <w:spacing w:after="120"/>
        <w:ind w:firstLine="567"/>
        <w:jc w:val="both"/>
      </w:pPr>
      <w:r>
        <w:rPr>
          <w:rFonts w:ascii="Arial" w:cs="Arial" w:eastAsia="Arial" w:hAnsi="Arial"/>
          <w:sz w:val="24"/>
          <w:szCs w:val="24"/>
        </w:rPr>
        <w:t xml:space="preserve">Планируется запуск первой государственной онлайн-школы "Тунгуч", которая обеспечит полноценное школьное образование с выдачей государственных документов для детей с ограниченными возможностями здоровья, детей мигрантов за рубежом и возвращающихся граждан.</w:t>
      </w:r>
    </w:p>
    <w:p>
      <w:pPr>
        <w:spacing w:after="120"/>
        <w:ind w:firstLine="567"/>
        <w:jc w:val="both"/>
      </w:pPr>
      <w:r>
        <w:rPr>
          <w:rFonts w:ascii="Arial" w:cs="Arial" w:eastAsia="Arial" w:hAnsi="Arial"/>
          <w:sz w:val="24"/>
          <w:szCs w:val="24"/>
        </w:rPr>
        <w:t xml:space="preserve">Учителя будут находиться в центре цифровой трансформации. Цифровая поддержка повышения квалификации учителей будет осуществляться через цифровую библиотеку образовательных ресурсов. Платформа, интегрированная с искусственным интеллектом, автоматически создает тесты, задания, учебные планы и другие материалы для уроков.</w:t>
      </w:r>
    </w:p>
    <w:p>
      <w:pPr>
        <w:spacing w:after="120"/>
        <w:ind w:firstLine="567"/>
        <w:jc w:val="both"/>
      </w:pPr>
      <w:r>
        <w:rPr>
          <w:rFonts w:ascii="Arial" w:cs="Arial" w:eastAsia="Arial" w:hAnsi="Arial"/>
          <w:sz w:val="24"/>
          <w:szCs w:val="24"/>
        </w:rPr>
        <w:t xml:space="preserve">К 2026 году будет полностью модернизирована система "Электронная очередь в школы", которая обеспечит распределение детей в школы и детские сады по месту жительства, избавляя большинство родителей от сбора справок. Для тех, кто хочет выбрать школу самостоятельно, приложение "Тундук" предоставит возможность встать в очередь в любую желаемую школу при наличии свободных мест.</w:t>
      </w:r>
    </w:p>
    <w:p>
      <w:pPr>
        <w:spacing w:after="120"/>
        <w:ind w:firstLine="567"/>
        <w:jc w:val="both"/>
      </w:pPr>
      <w:r>
        <w:rPr>
          <w:rFonts w:ascii="Arial" w:cs="Arial" w:eastAsia="Arial" w:hAnsi="Arial"/>
          <w:sz w:val="24"/>
          <w:szCs w:val="24"/>
        </w:rPr>
        <w:t xml:space="preserve">Будет разработана автоматизированная информационная система "Балалык", которая обеспечит учет всех дошкольных образовательных учреждений республики и воспитанников в них.</w:t>
      </w:r>
    </w:p>
    <w:p>
      <w:pPr>
        <w:spacing w:after="120"/>
        <w:ind w:firstLine="567"/>
        <w:jc w:val="both"/>
      </w:pPr>
      <w:r>
        <w:rPr>
          <w:rFonts w:ascii="Arial" w:cs="Arial" w:eastAsia="Arial" w:hAnsi="Arial"/>
          <w:sz w:val="24"/>
          <w:szCs w:val="24"/>
        </w:rPr>
        <w:t xml:space="preserve">Исходя из прогнозируемых макроэкономических параметров и реализации мер, определенных в программах и планах, социальные показатели в 2026 году прогнозируются следующим образом:</w:t>
      </w:r>
    </w:p>
    <w:p>
      <w:pPr>
        <w:spacing w:after="120"/>
        <w:ind w:firstLine="567"/>
        <w:jc w:val="both"/>
      </w:pPr>
      <w:r>
        <w:rPr>
          <w:rFonts w:ascii="Arial" w:cs="Arial" w:eastAsia="Arial" w:hAnsi="Arial"/>
          <w:sz w:val="24"/>
          <w:szCs w:val="24"/>
        </w:rPr>
        <w:t xml:space="preserve">- номинальный прирост денежных доходов населения прогнозируется на уровне 12,5%. В структуре денежных доходов прирост средней заработной платы прогнозируется на 8,5% и составит в 2026 году 44165,6 сомов;</w:t>
      </w:r>
    </w:p>
    <w:p>
      <w:pPr>
        <w:spacing w:after="120"/>
        <w:ind w:firstLine="567"/>
        <w:jc w:val="both"/>
      </w:pPr>
      <w:r>
        <w:rPr>
          <w:rFonts w:ascii="Arial" w:cs="Arial" w:eastAsia="Arial" w:hAnsi="Arial"/>
          <w:sz w:val="24"/>
          <w:szCs w:val="24"/>
        </w:rPr>
        <w:t xml:space="preserve">- с учетом роста денежных доходов населения прирост объема ВВП на душу населения прогнозируется на уровне 14,3%;</w:t>
      </w:r>
    </w:p>
    <w:p>
      <w:pPr>
        <w:spacing w:after="120"/>
        <w:ind w:firstLine="567"/>
        <w:jc w:val="both"/>
      </w:pPr>
      <w:r>
        <w:rPr>
          <w:rFonts w:ascii="Arial" w:cs="Arial" w:eastAsia="Arial" w:hAnsi="Arial"/>
          <w:sz w:val="24"/>
          <w:szCs w:val="24"/>
        </w:rPr>
        <w:t xml:space="preserve">- размер прожиточного минимума (ПМ) увеличится с 7963,7 сомов в 2024 году до 8990,3 сомов в 2026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4,4;</w:t>
      </w:r>
    </w:p>
    <w:p>
      <w:pPr>
        <w:spacing w:after="120"/>
        <w:ind w:firstLine="567"/>
        <w:jc w:val="both"/>
      </w:pPr>
      <w:r>
        <w:rPr>
          <w:rFonts w:ascii="Arial" w:cs="Arial" w:eastAsia="Arial" w:hAnsi="Arial"/>
          <w:sz w:val="24"/>
          <w:szCs w:val="24"/>
        </w:rPr>
        <w:t xml:space="preserve">- номинальный размер пенсии увеличится в 2026 году на 4,0% по сравнению с ожидаемым показателем 2025 года и составит 11538,7 сомов;</w:t>
      </w:r>
    </w:p>
    <w:p>
      <w:pPr>
        <w:spacing w:after="120"/>
        <w:ind w:firstLine="567"/>
        <w:jc w:val="both"/>
      </w:pPr>
      <w:r>
        <w:rPr>
          <w:rFonts w:ascii="Arial" w:cs="Arial" w:eastAsia="Arial" w:hAnsi="Arial"/>
          <w:sz w:val="24"/>
          <w:szCs w:val="24"/>
        </w:rPr>
        <w:t xml:space="preserve">- прогнозируемый уровень общей безработицы будет постепенно снижаться и в 2026 году составит 3,5%. Уровень бедности на 2026 год прогнозируется в 25,6% относительно фактически сложившегося уровня 29,8% в 2023 году.</w:t>
      </w:r>
    </w:p>
    <w:p>
      <w:pPr>
        <w:spacing w:after="240" w:before="200"/>
        <w:jc w:val="center"/>
      </w:pPr>
      <w:r>
        <w:rPr>
          <w:rFonts w:ascii="Arial" w:cs="Arial" w:eastAsia="Arial" w:hAnsi="Arial"/>
          <w:b/>
          <w:bCs/>
          <w:sz w:val="32"/>
          <w:szCs w:val="32"/>
        </w:rPr>
        <w:t xml:space="preserve">Глава 9. Макроэкономический прогноз на 2027-2030 годы</w:t>
      </w:r>
    </w:p>
    <w:p>
      <w:pPr>
        <w:spacing w:after="120"/>
        <w:ind w:firstLine="567"/>
        <w:jc w:val="both"/>
      </w:pPr>
      <w:r>
        <w:rPr>
          <w:rFonts w:ascii="Arial" w:cs="Arial" w:eastAsia="Arial" w:hAnsi="Arial"/>
          <w:sz w:val="24"/>
          <w:szCs w:val="24"/>
        </w:rPr>
        <w:t xml:space="preserve">Экономическая политика на среднесрочный период нацелена на формирование основ для устойчивого экономического роста за счет модернизации ключевых отраслей, активного привлечения инвестиций, развития внутреннего рынка, цифровизации экономики и повышения производительности труда.</w:t>
      </w:r>
    </w:p>
    <w:p>
      <w:pPr>
        <w:spacing w:after="120"/>
        <w:ind w:firstLine="567"/>
        <w:jc w:val="both"/>
      </w:pPr>
      <w:r>
        <w:rPr>
          <w:rFonts w:ascii="Arial" w:cs="Arial" w:eastAsia="Arial" w:hAnsi="Arial"/>
          <w:sz w:val="24"/>
          <w:szCs w:val="24"/>
        </w:rPr>
        <w:t xml:space="preserve">В рамках поставленных целей основными приоритетами определены развитие высокотехнологичных и наукоемких производств, укрепление экспортных позиций на региональных и глобальных рынках, внедрение инновационных решений в промышленность и сельское хозяйство, обеспечение энергетической независимости, углубление финансовых реформ, направленных на расширение доступа к финансированию, а также создание эффективных институтов для стимулирования предпринимательской активности и формирования конкурентной среды.</w:t>
      </w:r>
    </w:p>
    <w:p>
      <w:pPr>
        <w:spacing w:after="120"/>
        <w:ind w:firstLine="567"/>
        <w:jc w:val="both"/>
      </w:pPr>
      <w:r>
        <w:rPr>
          <w:rFonts w:ascii="Arial" w:cs="Arial" w:eastAsia="Arial" w:hAnsi="Arial"/>
          <w:sz w:val="24"/>
          <w:szCs w:val="24"/>
        </w:rPr>
        <w:t xml:space="preserve">В среднесрочный период Кыргызская Республика будет стремиться к углублению интеграции в международную экономику, укреплению торгово-экономических связей, развитию новых отраслей и активному привлечению инвестиций.</w:t>
      </w:r>
    </w:p>
    <w:p>
      <w:pPr>
        <w:spacing w:after="120"/>
        <w:ind w:firstLine="567"/>
        <w:jc w:val="both"/>
      </w:pPr>
      <w:r>
        <w:rPr>
          <w:rFonts w:ascii="Arial" w:cs="Arial" w:eastAsia="Arial" w:hAnsi="Arial"/>
          <w:sz w:val="24"/>
          <w:szCs w:val="24"/>
        </w:rPr>
        <w:t xml:space="preserve">Оценка прогнозных значений макроэкономических показателей на 2027-2030 годы предусматривает полную, успешную и своевременную реализацию мер и инвестиционных проектов, предусмотренных в программных документах, и их эффективное влияние на экономику страны. Экономические преобразования позволят обеспечить ежегодный темп прироста ВВП в среднем не менее 8,2%.</w:t>
      </w:r>
    </w:p>
    <w:p>
      <w:pPr>
        <w:spacing w:after="120"/>
        <w:ind w:firstLine="567"/>
        <w:jc w:val="both"/>
      </w:pPr>
      <w:r>
        <w:rPr>
          <w:rFonts w:ascii="Arial" w:cs="Arial" w:eastAsia="Arial" w:hAnsi="Arial"/>
          <w:sz w:val="24"/>
          <w:szCs w:val="24"/>
        </w:rPr>
        <w:t xml:space="preserve">В целом ожидается, что в среднесрочный период уровень инфляции будет соответствовать целевому ориентиру и держаться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ind w:firstLine="567"/>
        <w:jc w:val="both"/>
      </w:pPr>
      <w:r>
        <w:rPr>
          <w:rFonts w:ascii="Arial" w:cs="Arial" w:eastAsia="Arial" w:hAnsi="Arial"/>
          <w:sz w:val="24"/>
          <w:szCs w:val="24"/>
        </w:rPr>
        <w:t xml:space="preserve">На 2027-2030 годы прогнозируется среднегодовой рост реального объема продукции сельского хозяйства на уровне 4,1%, за счет принимаемых государством и частным сектором мер по увеличению урожайности растениеводства и продуктивности животноводства. Для достижения поставленных целей будут реализованы следующие мероприятия:</w:t>
      </w:r>
    </w:p>
    <w:p>
      <w:pPr>
        <w:spacing w:after="120"/>
        <w:ind w:firstLine="567"/>
        <w:jc w:val="both"/>
      </w:pPr>
      <w:r>
        <w:rPr>
          <w:rFonts w:ascii="Arial" w:cs="Arial" w:eastAsia="Arial" w:hAnsi="Arial"/>
          <w:sz w:val="24"/>
          <w:szCs w:val="24"/>
        </w:rPr>
        <w:t xml:space="preserve">- оптимизация структуры посевных площадей за счет увеличения доли наиболее востребованных сельскохозяйственных культур;</w:t>
      </w:r>
    </w:p>
    <w:p>
      <w:pPr>
        <w:spacing w:after="120"/>
        <w:ind w:firstLine="567"/>
        <w:jc w:val="both"/>
      </w:pPr>
      <w:r>
        <w:rPr>
          <w:rFonts w:ascii="Arial" w:cs="Arial" w:eastAsia="Arial" w:hAnsi="Arial"/>
          <w:sz w:val="24"/>
          <w:szCs w:val="24"/>
        </w:rPr>
        <w:t xml:space="preserve">- реализация программ по эффективному использованию водных ресурсов и модернизации ирригационной инфраструктуры с учетом климатических изменений;</w:t>
      </w:r>
    </w:p>
    <w:p>
      <w:pPr>
        <w:spacing w:after="120"/>
        <w:ind w:firstLine="567"/>
        <w:jc w:val="both"/>
      </w:pPr>
      <w:r>
        <w:rPr>
          <w:rFonts w:ascii="Arial" w:cs="Arial" w:eastAsia="Arial" w:hAnsi="Arial"/>
          <w:sz w:val="24"/>
          <w:szCs w:val="24"/>
        </w:rPr>
        <w:t xml:space="preserve">- применение современных агротехнологий, органических, минеральных и органоминеральных удобрений для повышения урожайности и экспортного потенциала;</w:t>
      </w:r>
    </w:p>
    <w:p>
      <w:pPr>
        <w:spacing w:after="120"/>
        <w:ind w:firstLine="567"/>
        <w:jc w:val="both"/>
      </w:pPr>
      <w:r>
        <w:rPr>
          <w:rFonts w:ascii="Arial" w:cs="Arial" w:eastAsia="Arial" w:hAnsi="Arial"/>
          <w:sz w:val="24"/>
          <w:szCs w:val="24"/>
        </w:rPr>
        <w:t xml:space="preserve">- обеспечение животноводства качественными кормами и сохранение стабильной эпизоотической ситуации;</w:t>
      </w:r>
    </w:p>
    <w:p>
      <w:pPr>
        <w:spacing w:after="120"/>
        <w:ind w:firstLine="567"/>
        <w:jc w:val="both"/>
      </w:pPr>
      <w:r>
        <w:rPr>
          <w:rFonts w:ascii="Arial" w:cs="Arial" w:eastAsia="Arial" w:hAnsi="Arial"/>
          <w:sz w:val="24"/>
          <w:szCs w:val="24"/>
        </w:rPr>
        <w:t xml:space="preserve">- обновление основных средств сельскохозяйственного производства, модернизация машинно-тракторного парка и развитие технических сервисных служб;</w:t>
      </w:r>
    </w:p>
    <w:p>
      <w:pPr>
        <w:spacing w:after="120"/>
        <w:ind w:firstLine="567"/>
        <w:jc w:val="both"/>
      </w:pPr>
      <w:r>
        <w:rPr>
          <w:rFonts w:ascii="Arial" w:cs="Arial" w:eastAsia="Arial" w:hAnsi="Arial"/>
          <w:sz w:val="24"/>
          <w:szCs w:val="24"/>
        </w:rPr>
        <w:t xml:space="preserve">- продолжение государственной поддержки сельхозпроизводителей через действующие программы льготного кредитования, лизинга и агрострахования;</w:t>
      </w:r>
    </w:p>
    <w:p>
      <w:pPr>
        <w:spacing w:after="120"/>
        <w:ind w:firstLine="567"/>
        <w:jc w:val="both"/>
      </w:pPr>
      <w:r>
        <w:rPr>
          <w:rFonts w:ascii="Arial" w:cs="Arial" w:eastAsia="Arial" w:hAnsi="Arial"/>
          <w:sz w:val="24"/>
          <w:szCs w:val="24"/>
        </w:rPr>
        <w:t xml:space="preserve">- преодоление мелкотоварности путем развития кооперации и объединения фермеров в производственные объединения;</w:t>
      </w:r>
    </w:p>
    <w:p>
      <w:pPr>
        <w:spacing w:after="120"/>
        <w:ind w:firstLine="567"/>
        <w:jc w:val="both"/>
      </w:pPr>
      <w:r>
        <w:rPr>
          <w:rFonts w:ascii="Arial" w:cs="Arial" w:eastAsia="Arial" w:hAnsi="Arial"/>
          <w:sz w:val="24"/>
          <w:szCs w:val="24"/>
        </w:rPr>
        <w:t xml:space="preserve">- внедрение кластерного подхода в агропромышленном комплексе;</w:t>
      </w:r>
    </w:p>
    <w:p>
      <w:pPr>
        <w:spacing w:after="120"/>
        <w:ind w:firstLine="567"/>
        <w:jc w:val="both"/>
      </w:pPr>
      <w:r>
        <w:rPr>
          <w:rFonts w:ascii="Arial" w:cs="Arial" w:eastAsia="Arial" w:hAnsi="Arial"/>
          <w:sz w:val="24"/>
          <w:szCs w:val="24"/>
        </w:rPr>
        <w:t xml:space="preserve">- создание торгово-логистических центров для организации эффективного сбора, хранения, сбыта и переработки сельскохозяйственной продукции;</w:t>
      </w:r>
    </w:p>
    <w:p>
      <w:pPr>
        <w:spacing w:after="120"/>
        <w:ind w:firstLine="567"/>
        <w:jc w:val="both"/>
      </w:pPr>
      <w:r>
        <w:rPr>
          <w:rFonts w:ascii="Arial" w:cs="Arial" w:eastAsia="Arial" w:hAnsi="Arial"/>
          <w:sz w:val="24"/>
          <w:szCs w:val="24"/>
        </w:rPr>
        <w:t xml:space="preserve">- развитие образовательных программ и консультационной поддержки сельхозпроизводителей для повышения квалификации и эффективного управления;</w:t>
      </w:r>
    </w:p>
    <w:p>
      <w:pPr>
        <w:spacing w:after="120"/>
        <w:ind w:firstLine="567"/>
        <w:jc w:val="both"/>
      </w:pPr>
      <w:r>
        <w:rPr>
          <w:rFonts w:ascii="Arial" w:cs="Arial" w:eastAsia="Arial" w:hAnsi="Arial"/>
          <w:sz w:val="24"/>
          <w:szCs w:val="24"/>
        </w:rPr>
        <w:t xml:space="preserve">- развитие программ по поддержке экспорта и продвижению продукции на внешние рынки, включая участие в международных выставках и торговых миссиях;</w:t>
      </w:r>
    </w:p>
    <w:p>
      <w:pPr>
        <w:spacing w:after="120"/>
        <w:ind w:firstLine="567"/>
        <w:jc w:val="both"/>
      </w:pPr>
      <w:r>
        <w:rPr>
          <w:rFonts w:ascii="Arial" w:cs="Arial" w:eastAsia="Arial" w:hAnsi="Arial"/>
          <w:sz w:val="24"/>
          <w:szCs w:val="24"/>
        </w:rPr>
        <w:t xml:space="preserve">- завершение инвентаризации сельскохозяйственных земель и внедрение механизмов их рационального использования.</w:t>
      </w:r>
    </w:p>
    <w:p>
      <w:pPr>
        <w:spacing w:after="120"/>
        <w:ind w:firstLine="567"/>
        <w:jc w:val="both"/>
      </w:pPr>
      <w:r>
        <w:rPr>
          <w:rFonts w:ascii="Arial" w:cs="Arial" w:eastAsia="Arial" w:hAnsi="Arial"/>
          <w:sz w:val="24"/>
          <w:szCs w:val="24"/>
        </w:rPr>
        <w:t xml:space="preserve">Прирост промышленного производства в 2027-2030 годы прогнозируется в среднем в год на уровне 108,0% за счет:</w:t>
      </w:r>
    </w:p>
    <w:p>
      <w:pPr>
        <w:spacing w:after="120"/>
        <w:ind w:firstLine="567"/>
        <w:jc w:val="both"/>
      </w:pPr>
      <w:r>
        <w:rPr>
          <w:rFonts w:ascii="Arial" w:cs="Arial" w:eastAsia="Arial" w:hAnsi="Arial"/>
          <w:sz w:val="24"/>
          <w:szCs w:val="24"/>
        </w:rPr>
        <w:t xml:space="preserve">- устойчивой работы действующих промышленных предприятий, возобновления простаивающих производств;</w:t>
      </w:r>
    </w:p>
    <w:p>
      <w:pPr>
        <w:spacing w:after="120"/>
        <w:ind w:firstLine="567"/>
        <w:jc w:val="both"/>
      </w:pPr>
      <w:r>
        <w:rPr>
          <w:rFonts w:ascii="Arial" w:cs="Arial" w:eastAsia="Arial" w:hAnsi="Arial"/>
          <w:sz w:val="24"/>
          <w:szCs w:val="24"/>
        </w:rPr>
        <w:t xml:space="preserve">- наращивания объемов добычи на месторождениях Кумтор (прогнозируется рост на 15% в среднем за год за счет начала подземных работ по добыче богатой руды параллельно открытым горным работам, а также с 2028 года планируется переработка отходов в хвостохранилище для извлечения золота с применением современных технологий), Джеруй (прогнозируется рост на 12% в среднем за год за счет начала работы подземной добычи) и запуска в эксплуатацию месторождения Чаарат;</w:t>
      </w:r>
    </w:p>
    <w:p>
      <w:pPr>
        <w:spacing w:after="120"/>
        <w:ind w:firstLine="567"/>
        <w:jc w:val="both"/>
      </w:pPr>
      <w:r>
        <w:rPr>
          <w:rFonts w:ascii="Arial" w:cs="Arial" w:eastAsia="Arial" w:hAnsi="Arial"/>
          <w:sz w:val="24"/>
          <w:szCs w:val="24"/>
        </w:rPr>
        <w:t xml:space="preserve">- наращивания объемов производственной мощности нефтеперерабатывающих заводов, где прогнозируется рост производства нефтепродуктов на 7,3% в среднем за год;</w:t>
      </w:r>
    </w:p>
    <w:p>
      <w:pPr>
        <w:spacing w:after="120"/>
        <w:ind w:firstLine="567"/>
        <w:jc w:val="both"/>
      </w:pPr>
      <w:r>
        <w:rPr>
          <w:rFonts w:ascii="Arial" w:cs="Arial" w:eastAsia="Arial" w:hAnsi="Arial"/>
          <w:sz w:val="24"/>
          <w:szCs w:val="24"/>
        </w:rPr>
        <w:t xml:space="preserve">- увеличения объемов обеспечения электроэнергией, газом, паром и кондиционированным воздухом в связи с планируемым вводом новых мощностей: а) в 2027 году прогнозируется увеличение общей планируемой мощности - 3522 МВт, в том числе МГЭС - 163 МВт, СЭС - 3150 МВт, ВЭС - 100 МВт) за счет реконструкции первого гидроагрегата Уч-Курганской ГЭС, мощность которого увеличивается на 9 МВт; ввода в эксплуатацию Куланакской ГЭС мощностью 100 МВт. Также планируется ввод в эксплуатацию 17 объектов ВИЭ из них 13 малых ГЭС, 3 солнечных электростанций и 1 ветровая электростанция; б) с 2028 по 2030 годы прогнозируется увеличение общей планируемой мощности - 1970 МВт (в том числе МГЭС - 25,7 МВт, СЭС - 1824 МВт) за счет ввода в эксплуатацию второго гидроагрегата Камбаратинской ГЭС-2 мощностью 120 МВт, а также ввода в эксплуатацию 7 объектов в отрасли ВИЭ.</w:t>
      </w:r>
    </w:p>
    <w:p>
      <w:pPr>
        <w:spacing w:after="120"/>
        <w:ind w:firstLine="567"/>
        <w:jc w:val="both"/>
      </w:pPr>
      <w:r>
        <w:rPr>
          <w:rFonts w:ascii="Arial" w:cs="Arial" w:eastAsia="Arial" w:hAnsi="Arial"/>
          <w:sz w:val="24"/>
          <w:szCs w:val="24"/>
        </w:rPr>
        <w:t xml:space="preserve">Продолжится реализация Генеральной схемы газоснабжения - масштабный проект, который существенно повысит надежность поставок газа потребителям. Всего к 2030 году поступление природного газа в Кыргызскую Республику прогнозируется в объеме 2451,0 млн. м</w:t>
      </w:r>
      <w:r>
        <w:rPr>
          <w:rFonts w:ascii="Arial" w:cs="Arial" w:eastAsia="Arial" w:hAnsi="Arial"/>
          <w:sz w:val="24"/>
          <w:szCs w:val="24"/>
        </w:rPr>
        <w:t xml:space="preserve">3</w:t>
      </w:r>
      <w:r>
        <w:rPr>
          <w:rFonts w:ascii="Arial" w:cs="Arial" w:eastAsia="Arial" w:hAnsi="Arial"/>
          <w:sz w:val="24"/>
          <w:szCs w:val="24"/>
        </w:rPr>
        <w:t xml:space="preserve">, что ежегодно в среднем составит рост в 1,5 раза, которое позволит увеличить объем услуг распределения газообразного топлива через системы газоснабжения, а также переход действующих ТЭЦ на газ. Многоэтажные дома, которые отапливаются электроэнергией, планируется перевести на газовое отопление и теплонасосные установки, которые приведут к снижению электропотребления и его эффективному использованию. В соответствии с Генеральной схемой газоснабжения и газификации Кыргызской Республики до 2030 года ОАО "Газпром" планирует обеспечить рост уровня газификации республики с 22% до 60%.</w:t>
      </w:r>
    </w:p>
    <w:p>
      <w:pPr>
        <w:spacing w:after="120"/>
        <w:ind w:firstLine="567"/>
        <w:jc w:val="both"/>
      </w:pPr>
      <w:r>
        <w:rPr>
          <w:rFonts w:ascii="Arial" w:cs="Arial" w:eastAsia="Arial" w:hAnsi="Arial"/>
          <w:sz w:val="24"/>
          <w:szCs w:val="24"/>
        </w:rPr>
        <w:t xml:space="preserve">В 2027-2030 годах приоритетными направлениями развития строительной отрасли будут:</w:t>
      </w:r>
    </w:p>
    <w:p>
      <w:pPr>
        <w:spacing w:after="12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12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внедрение новых архитектурно-строительных систем, типов зданий и современных технологий;</w:t>
      </w:r>
    </w:p>
    <w:p>
      <w:pPr>
        <w:spacing w:after="12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120"/>
        <w:ind w:firstLine="567"/>
        <w:jc w:val="both"/>
      </w:pPr>
      <w:r>
        <w:rPr>
          <w:rFonts w:ascii="Arial" w:cs="Arial" w:eastAsia="Arial" w:hAnsi="Arial"/>
          <w:sz w:val="24"/>
          <w:szCs w:val="24"/>
        </w:rPr>
        <w:t xml:space="preserve">- реабилитация региональных дорог, в том числе асфальтирование дорог до каждого села;</w:t>
      </w:r>
    </w:p>
    <w:p>
      <w:pPr>
        <w:spacing w:after="120"/>
        <w:ind w:firstLine="567"/>
        <w:jc w:val="both"/>
      </w:pPr>
      <w:r>
        <w:rPr>
          <w:rFonts w:ascii="Arial" w:cs="Arial" w:eastAsia="Arial" w:hAnsi="Arial"/>
          <w:sz w:val="24"/>
          <w:szCs w:val="24"/>
        </w:rPr>
        <w:t xml:space="preserve">- активное применение механизмов государственно-частного партнерства в строительной отрасли;</w:t>
      </w:r>
    </w:p>
    <w:p>
      <w:pPr>
        <w:spacing w:after="120"/>
        <w:ind w:firstLine="567"/>
        <w:jc w:val="both"/>
      </w:pPr>
      <w:r>
        <w:rPr>
          <w:rFonts w:ascii="Arial" w:cs="Arial" w:eastAsia="Arial" w:hAnsi="Arial"/>
          <w:sz w:val="24"/>
          <w:szCs w:val="24"/>
        </w:rPr>
        <w:t xml:space="preserve">- привлечение инвестиций для строительства следующих крупных проектов: строительство Камбаратинской ГЭС-1, строительство Верхне-Нарынского каскада ГЭС, строительство города "Асман" и других объектов.</w:t>
      </w:r>
    </w:p>
    <w:p>
      <w:pPr>
        <w:spacing w:after="120"/>
        <w:ind w:firstLine="567"/>
        <w:jc w:val="both"/>
      </w:pPr>
      <w:r>
        <w:rPr>
          <w:rFonts w:ascii="Arial" w:cs="Arial" w:eastAsia="Arial" w:hAnsi="Arial"/>
          <w:sz w:val="24"/>
          <w:szCs w:val="24"/>
        </w:rPr>
        <w:t xml:space="preserve">Кроме того, рост численности населения и внутренняя миграция в крупные города республики, такие как Бишкек и Ош, будут способствовать активному развитию жилищного строительства и формированию новых микрорайонов.</w:t>
      </w:r>
    </w:p>
    <w:p>
      <w:pPr>
        <w:spacing w:after="12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2027-2030 годах возрастет в среднем на 13,7% (от 483,6 млрд. сомов в 2027 году до 811,4 млрд. сомов в 2030 году). Структура капитальных вложений относительно прогнозируемой в 2026 году изменится в сторону увеличения доли внутренних инвестиций до 81,5% общего объема капитальных вложений в 2030 году и, соответственно, снижения доли внешних инвестиций до 18,5%, по причине снижения доли иностранных грантов и гуманитарной помощи в страну.</w:t>
      </w:r>
    </w:p>
    <w:p>
      <w:pPr>
        <w:spacing w:after="120"/>
        <w:ind w:firstLine="567"/>
        <w:jc w:val="both"/>
      </w:pPr>
      <w:r>
        <w:rPr>
          <w:rFonts w:ascii="Arial" w:cs="Arial" w:eastAsia="Arial" w:hAnsi="Arial"/>
          <w:sz w:val="24"/>
          <w:szCs w:val="24"/>
        </w:rPr>
        <w:t xml:space="preserve">В строительной отрасли в 2027-2030 годах среднегодовой темп реального прироста прогнозируется на уровне 14,3%.</w:t>
      </w:r>
    </w:p>
    <w:p>
      <w:pPr>
        <w:spacing w:after="120"/>
        <w:ind w:firstLine="567"/>
        <w:jc w:val="both"/>
      </w:pPr>
      <w:r>
        <w:rPr>
          <w:rFonts w:ascii="Arial" w:cs="Arial" w:eastAsia="Arial" w:hAnsi="Arial"/>
          <w:sz w:val="24"/>
          <w:szCs w:val="24"/>
        </w:rPr>
        <w:t xml:space="preserve">В сфере услуг в 2027-2030 годах рост прогнозируется в среднем на уровне 108,1% в год, с наибольшим удельным весом вклада в экономический рост в 4,1 п.п. Данный рост будет обеспечен за счет расширения потребительского спроса, обусловленного ростом номинальных денежных доходов населения в среднем за год на 12,8%. Приоритетными направлениями развития будут: развитие малого и среднего предпринимательства как основного источника экономической активности в регионах, совершенствование системы государственного регулирования и снижение административных барьеров для бизнеса, что будет способствовать расширению частного сектора в сфере услуг; строительство и открытие современных логистических центров (Global Hub, Wildberries), что позволит повысить эффективность хранения и обработки грузов, оптимизировать перевозки и улучшить доступность транспортных услуг; улучшение туристической инфраструктуры, инновационное развитие туристических услуг (важным фактором роста сферы услуг станет строительство туристического комплекса "Кыргыз Куршевель", завершение первого этапа которого намечено на декабрь 2026 года. Это позволит принимать 850 тысяч туристов в год и создаст 4600 рабочих мест, став значимым драйвером экономического роста).</w:t>
      </w:r>
    </w:p>
    <w:p>
      <w:pPr>
        <w:spacing w:after="120"/>
        <w:ind w:firstLine="567"/>
        <w:jc w:val="both"/>
      </w:pPr>
      <w:r>
        <w:rPr>
          <w:rFonts w:ascii="Arial" w:cs="Arial" w:eastAsia="Arial" w:hAnsi="Arial"/>
          <w:sz w:val="24"/>
          <w:szCs w:val="24"/>
        </w:rPr>
        <w:t xml:space="preserve">Внешнеэкономическая деятельность Кыргызской Республики в среднесрочный период будет ориентирована на активное продвижение продукции отечественного производства на внешние рынки и расширение международного торгово-экономического сотрудничества. Особое внимание будет уделено участию в региональных и межрегиональных соглашениях о свободной торговле и инвестициях, что позволит обеспечить доступ к новым рынкам сбыта и привлечь прямые иностранные инвестиции. В этой связи предусмотрена активизация работы зарубежных дипломатических и торговых представительств Кыргызской Республики с использованием инструментов экономической дипломатии, направленных на продвижение и защиту внешнеэкономических интересов государства. Укрепление институционального взаимодействия с партнерскими странами будет способствовать более эффективному участию Кыргызской Республики в глобальных торговых процессах.</w:t>
      </w:r>
    </w:p>
    <w:p>
      <w:pPr>
        <w:spacing w:after="120"/>
        <w:ind w:firstLine="567"/>
        <w:jc w:val="both"/>
      </w:pPr>
      <w:r>
        <w:rPr>
          <w:rFonts w:ascii="Arial" w:cs="Arial" w:eastAsia="Arial" w:hAnsi="Arial"/>
          <w:sz w:val="24"/>
          <w:szCs w:val="24"/>
        </w:rPr>
        <w:t xml:space="preserve">С целью расширения каналов экспорта и повышения конкурентоспособности кыргызской продукции на международных рынках планируется активное использование механизмов электронной торговли и цифровых платформ. В рамках проводимой цифровой трансформации будет создана единая цифровая платформа поддержки экспортеров, обеспечивающая доступ к аналитическим данным, практическим рекомендациям по выходу на внешние рынки и современным инструментам цифрового маркетинга.</w:t>
      </w:r>
    </w:p>
    <w:p>
      <w:pPr>
        <w:spacing w:after="120"/>
        <w:ind w:firstLine="567"/>
        <w:jc w:val="both"/>
      </w:pPr>
      <w:r>
        <w:rPr>
          <w:rFonts w:ascii="Arial" w:cs="Arial" w:eastAsia="Arial" w:hAnsi="Arial"/>
          <w:sz w:val="24"/>
          <w:szCs w:val="24"/>
        </w:rPr>
        <w:t xml:space="preserve">Одним из приоритетных направлений в рамках развития экспортной инфраструктуры станет реализация инвестиционных проектов в области логистики и транспортной инфраструктуры. В частности, предусматривается создание сухопутных портов, развитие торгово-логистических центров и обеспечение эффективной интеграции в международные транспортные коридоры, что позволит значительно повысить транзитный потенциал страны.</w:t>
      </w:r>
    </w:p>
    <w:p>
      <w:pPr>
        <w:spacing w:after="120"/>
        <w:ind w:firstLine="567"/>
        <w:jc w:val="both"/>
      </w:pPr>
      <w:r>
        <w:rPr>
          <w:rFonts w:ascii="Arial" w:cs="Arial" w:eastAsia="Arial" w:hAnsi="Arial"/>
          <w:sz w:val="24"/>
          <w:szCs w:val="24"/>
        </w:rPr>
        <w:t xml:space="preserve">Отдельное внимание будет уделено дальнейшему освоению рынка Китайской Народной Республики (КНР), который рассматривается как стратегически важное направление внешнеэкономической деятельности. Ожидается, что ранее реализованные меры, включая заключенные международные соглашения и протоколы, обеспечат устойчивую положительную динамику экспорта отечественной продукции в КНР, несмотря на сохраняющиеся внешнеэкономические вызовы.</w:t>
      </w:r>
    </w:p>
    <w:p>
      <w:pPr>
        <w:spacing w:after="120"/>
        <w:ind w:firstLine="567"/>
        <w:jc w:val="both"/>
      </w:pPr>
      <w:r>
        <w:rPr>
          <w:rFonts w:ascii="Arial" w:cs="Arial" w:eastAsia="Arial" w:hAnsi="Arial"/>
          <w:sz w:val="24"/>
          <w:szCs w:val="24"/>
        </w:rPr>
        <w:t xml:space="preserve">В период 2027-2030 годах рост внешнеторгового оборота прогнозируется в среднем на 6,4% ежегодно и в 2030 году достигнет размера 21944,0 млн. долл. США. Номинальный рост объема экспорта товаров в 2027-2030 годах прогнозируется в среднем на 7,9%, а импорта - на 5,9%.</w:t>
      </w:r>
    </w:p>
    <w:p>
      <w:pPr>
        <w:spacing w:after="120"/>
        <w:ind w:firstLine="567"/>
        <w:jc w:val="both"/>
      </w:pPr>
      <w:r>
        <w:rPr>
          <w:rFonts w:ascii="Arial" w:cs="Arial" w:eastAsia="Arial" w:hAnsi="Arial"/>
          <w:sz w:val="24"/>
          <w:szCs w:val="24"/>
        </w:rPr>
        <w:t xml:space="preserve">Политика социального развития в 2027-2030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12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120"/>
        <w:ind w:firstLine="567"/>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12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2027-2030 годах будут складываться следующим образом:</w:t>
      </w:r>
    </w:p>
    <w:p>
      <w:pPr>
        <w:spacing w:after="120"/>
        <w:ind w:firstLine="567"/>
        <w:jc w:val="both"/>
      </w:pPr>
      <w:r>
        <w:rPr>
          <w:rFonts w:ascii="Arial" w:cs="Arial" w:eastAsia="Arial" w:hAnsi="Arial"/>
          <w:sz w:val="24"/>
          <w:szCs w:val="24"/>
        </w:rPr>
        <w:t xml:space="preserve">- номинальный прирост денежных доходов населения в 2027-2030 годах прогнозируется в среднем на уровне 12,8%. В структуре денежных доходов прирост заработной платы составит в среднем 8,8%;</w:t>
      </w:r>
    </w:p>
    <w:p>
      <w:pPr>
        <w:spacing w:after="120"/>
        <w:ind w:firstLine="567"/>
        <w:jc w:val="both"/>
      </w:pPr>
      <w:r>
        <w:rPr>
          <w:rFonts w:ascii="Arial" w:cs="Arial" w:eastAsia="Arial" w:hAnsi="Arial"/>
          <w:sz w:val="24"/>
          <w:szCs w:val="24"/>
        </w:rPr>
        <w:t xml:space="preserve">- прирост объема ВВП на душу населения в среднем в 2027-2030 годах оценивается на уровне 13,3%;</w:t>
      </w:r>
    </w:p>
    <w:p>
      <w:pPr>
        <w:spacing w:after="120"/>
        <w:ind w:firstLine="567"/>
        <w:jc w:val="both"/>
      </w:pPr>
      <w:r>
        <w:rPr>
          <w:rFonts w:ascii="Arial" w:cs="Arial" w:eastAsia="Arial" w:hAnsi="Arial"/>
          <w:sz w:val="24"/>
          <w:szCs w:val="24"/>
        </w:rPr>
        <w:t xml:space="preserve">- прогнозируется увеличение размера прожиточного минимума с 9484,8 сомов в 2027 году до 11147,9 сомов к 2030 году. Коэффициент отношения среднемесячной заработной платы к прожиточному минимуму для взрослого населения трудоспособного возраста ожидается на уровне 5,0 к 2030 году;</w:t>
      </w:r>
    </w:p>
    <w:p>
      <w:pPr>
        <w:spacing w:after="120"/>
        <w:ind w:firstLine="567"/>
        <w:jc w:val="both"/>
      </w:pPr>
      <w:r>
        <w:rPr>
          <w:rFonts w:ascii="Arial" w:cs="Arial" w:eastAsia="Arial" w:hAnsi="Arial"/>
          <w:sz w:val="24"/>
          <w:szCs w:val="24"/>
        </w:rPr>
        <w:t xml:space="preserve">- прогнозируется повышение номинального размера пенсии в 2030 году до 13498,7 сомов и увеличение относительно 2027 года на 12,5%. Уровень бедности к 2030 году снизится до 20,9%.</w:t>
      </w:r>
    </w:p>
    <w:p>
      <w:pPr>
        <w:spacing w:after="240" w:before="200"/>
        <w:jc w:val="center"/>
      </w:pPr>
      <w:r>
        <w:rPr>
          <w:rFonts w:ascii="Arial" w:cs="Arial" w:eastAsia="Arial" w:hAnsi="Arial"/>
          <w:b/>
          <w:bCs/>
          <w:sz w:val="32"/>
          <w:szCs w:val="32"/>
        </w:rPr>
        <w:t xml:space="preserve">Глава 10. Заключение</w:t>
      </w:r>
    </w:p>
    <w:p>
      <w:pPr>
        <w:spacing w:after="120"/>
        <w:ind w:firstLine="567"/>
        <w:jc w:val="both"/>
      </w:pPr>
      <w:r>
        <w:rPr>
          <w:rFonts w:ascii="Arial" w:cs="Arial" w:eastAsia="Arial" w:hAnsi="Arial"/>
          <w:sz w:val="24"/>
          <w:szCs w:val="24"/>
        </w:rPr>
        <w:t xml:space="preserve">В среднесрочной перспективе в 2026-2030 годах экономический рост прогнозируется в среднем на 8,3% в год.</w:t>
      </w:r>
    </w:p>
    <w:p>
      <w:pPr>
        <w:spacing w:after="12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ind w:firstLine="567"/>
        <w:jc w:val="both"/>
      </w:pPr>
      <w:r>
        <w:rPr>
          <w:rFonts w:ascii="Arial" w:cs="Arial" w:eastAsia="Arial" w:hAnsi="Arial"/>
          <w:sz w:val="24"/>
          <w:szCs w:val="24"/>
        </w:rPr>
        <w:t xml:space="preserve">Кабинетом Министров Кыргызской Республики,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12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эффективная реализация мер политики, заложенных в программных документах.</w:t>
      </w:r>
    </w:p>
    <w:p>
      <w:pPr>
        <w:spacing w:after="12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2025 году, прогнозируемые макроэкономические показатели на 2026-2030 годы будут скорректированы.</w:t>
      </w:r>
    </w:p>
    <w:p>
      <w:pPr>
        <w:spacing w:after="12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14</w:t>
      </w:r>
      <w:r>
        <w:rPr>
          <w:rFonts w:ascii="Arial" w:cs="Arial" w:eastAsia="Arial" w:hAnsi="Arial"/>
          <w:sz w:val="24"/>
          <w:szCs w:val="24"/>
        </w:rPr>
        <w:t xml:space="preserve"> к настоящему Прогнозу.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Темпы прироста приведены по ВДС.</w:t>
      </w:r>
    </w:p>
    <w:p>
      <w:pPr>
        <w:spacing w:after="120"/>
        <w:ind w:firstLine="567"/>
        <w:jc w:val="both"/>
      </w:pPr>
      <w:r>
        <w:rPr>
          <w:rFonts w:ascii="Arial" w:cs="Arial" w:eastAsia="Arial" w:hAnsi="Arial"/>
          <w:sz w:val="24"/>
          <w:szCs w:val="24"/>
        </w:rPr>
        <w:t xml:space="preserve">(2) Темпы прироста приведены по ВДС.</w:t>
      </w:r>
    </w:p>
    <w:p>
      <w:pPr>
        <w:spacing w:after="120"/>
        <w:ind w:firstLine="567"/>
        <w:jc w:val="both"/>
      </w:pPr>
      <w:r>
        <w:rPr>
          <w:rFonts w:ascii="Arial" w:cs="Arial" w:eastAsia="Arial" w:hAnsi="Arial"/>
          <w:sz w:val="24"/>
          <w:szCs w:val="24"/>
        </w:rPr>
        <w:t xml:space="preserve">(3) Без учета стоимости давальческого сырья.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9"/>
        <w:gridCol w:w="1142"/>
        <w:gridCol w:w="1010"/>
        <w:gridCol w:w="1010"/>
        <w:gridCol w:w="1010"/>
        <w:gridCol w:w="1010"/>
        <w:gridCol w:w="1010"/>
        <w:gridCol w:w="1010"/>
        <w:gridCol w:w="1010"/>
      </w:tblGrid>
      <w:tr>
        <w:tc>
          <w:tcPr>
            <w:tcW w:type="dxa" w:w="19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 Производство ВВП</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1523235,8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2398447,3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2779309,1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3190869,9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3663594,8</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251034,5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330898,2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380085,4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449439,6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517876,6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575394,2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131114,1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160232,2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175975,8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194004,7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213390,8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232952,1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125855,1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196390,6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247013,2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301348,2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355119,3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421530,5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794212,4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926356,6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1073482,4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1238106,4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1420114,2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1625604,4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1876724,6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221019,7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258991,8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306015,6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357266,5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414402,3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478878,8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556993,5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золота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1432479,8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1676434,7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1951554,3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2601211,5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2976925,4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3424147,9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1464392,9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1714967,6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1994910,2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2308415,6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2651280,1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3029928,2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3490582,5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Использование ВВП</w:t>
            </w:r>
            <w:r>
              <w:rPr>
                <w:rFonts w:ascii="Arial" w:cs="Arial" w:eastAsia="Arial" w:hAnsi="Arial"/>
                <w:sz w:val="24"/>
                <w:szCs w:val="24"/>
              </w:rPr>
              <w:t xml:space="preserve">(1)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1503048,3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1705681,1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1906796,2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2171519,9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2468221,6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2784034,2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3141273,7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1271761,0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1444228,9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1601006,9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1822967,5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2081653,6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2354456,3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2662486,8</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231287,3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261452,2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305789,3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348552,4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386568,0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429577,9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478786,9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529539,2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610365,4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707502,0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851719,2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996820,7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1172219,2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1372147,1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45377,7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40664,7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38523,7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17243,4</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40033,0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41885,7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38816,3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36772,6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16459,6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488015,9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564987,7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666837,3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813195,5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971746,0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1158933,3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1354903,7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-509351,7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-536325,3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-547279,1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-624791,8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-685733,2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-765383,5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-849826,0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796250,2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849411,9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961561,4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1064148,5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1202998,6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1318718,7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1445558,3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1305601,9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1385737,2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1508840,5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1688940,3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1888731,8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2084102,2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2295384,3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3. Социальные показатели</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5052,3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874737,1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979705,5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1102168,7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1242144,1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1406107,1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1586088,9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1785936,1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10596,8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11147,9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10054,6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12467,6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9399,5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9888,3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6838,3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7270,4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7430,3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37361,0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52088,7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56672,5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61829,7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12979,5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13498,7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136,5</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4. Трудовые ресурсы</w:t>
            </w:r>
            <w:r>
              <w:rPr>
                <w:rFonts w:ascii="Arial" w:cs="Arial" w:eastAsia="Arial" w:hAnsi="Arial"/>
                <w:sz w:val="24"/>
                <w:szCs w:val="24"/>
              </w:rPr>
              <w:t xml:space="preserve">(5)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2976,0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w:t>
      </w:r>
    </w:p>
    <w:p>
      <w:pPr>
        <w:spacing w:after="120"/>
        <w:ind w:firstLine="567"/>
        <w:jc w:val="both"/>
      </w:pPr>
      <w:r>
        <w:rPr>
          <w:rFonts w:ascii="Arial" w:cs="Arial" w:eastAsia="Arial" w:hAnsi="Arial"/>
          <w:sz w:val="24"/>
          <w:szCs w:val="24"/>
        </w:rPr>
        <w:t xml:space="preserve">(2) По методике Международного валютного фонда</w:t>
      </w:r>
    </w:p>
    <w:p>
      <w:pPr>
        <w:spacing w:after="12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(4) Данные Социального фонда Кыргызской Республики при Кабинете Министров Кыргызской Республики (предварительные).</w:t>
      </w:r>
    </w:p>
    <w:p>
      <w:pPr>
        <w:spacing w:after="120"/>
        <w:ind w:firstLine="567"/>
        <w:jc w:val="both"/>
      </w:pPr>
      <w:r>
        <w:rPr>
          <w:rFonts w:ascii="Arial" w:cs="Arial" w:eastAsia="Arial" w:hAnsi="Arial"/>
          <w:sz w:val="24"/>
          <w:szCs w:val="24"/>
        </w:rPr>
        <w:t xml:space="preserve">(5)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0"/>
        <w:gridCol w:w="1005"/>
        <w:gridCol w:w="791"/>
        <w:gridCol w:w="906"/>
        <w:gridCol w:w="906"/>
        <w:gridCol w:w="906"/>
        <w:gridCol w:w="906"/>
        <w:gridCol w:w="889"/>
      </w:tblGrid>
      <w:tr>
        <w:tc>
          <w:tcPr>
            <w:tcW w:type="dxa" w:w="38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7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8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 Национальные счета (% от ВВП)</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Производство ВВП</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Использование ВВП</w:t>
            </w:r>
            <w:r>
              <w:rPr>
                <w:rFonts w:ascii="Arial" w:cs="Arial" w:eastAsia="Arial" w:hAnsi="Arial"/>
                <w:sz w:val="24"/>
                <w:szCs w:val="24"/>
              </w:rPr>
              <w:t xml:space="preserve">(1)</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методике Международного валютного фонда</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2024 год, на 2025-2030 годы.</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060"/>
        <w:gridCol w:w="1011"/>
        <w:gridCol w:w="1011"/>
        <w:gridCol w:w="1011"/>
        <w:gridCol w:w="1011"/>
        <w:gridCol w:w="1011"/>
        <w:gridCol w:w="1011"/>
      </w:tblGrid>
      <w:tr>
        <w:tc>
          <w:tcPr>
            <w:tcW w:type="dxa" w:w="30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395637,1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438161,0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483501,1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531007,5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585409,7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643907,1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702933,4</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Промышленность(1), </w:t>
            </w:r>
            <w:r>
              <w:rPr>
                <w:rFonts w:ascii="Arial" w:cs="Arial" w:eastAsia="Arial" w:hAnsi="Arial"/>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603792,7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698520,6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795882,3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914188,3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1081000,2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1245606,2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1383948,4</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Промышленность(2), </w:t>
            </w:r>
            <w:r>
              <w:rPr>
                <w:rFonts w:ascii="Arial" w:cs="Arial" w:eastAsia="Arial" w:hAnsi="Arial"/>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585275,8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675301,1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768077,0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883615,5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1043012,9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1198941,4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1337095,7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68620,6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74012,4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85513,3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93038,3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451365,5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526649,8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605107,4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698268,0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844014,6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986483,3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1108817,5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65554,7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73636,4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82131,0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97860,6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105503,5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113780,7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126157,9</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7981,5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9082,0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339922,7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396072,7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455925,4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515024,2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561537,6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620556,0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689766,1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367486,4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435635,1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501187,6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550389,8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569152,1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603263,9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696742,3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285709,7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360380,2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445835,7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560756,6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684105,1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806173,4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956936,7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r>
              <w:rPr>
                <w:rFonts w:ascii="Arial" w:cs="Arial" w:eastAsia="Arial" w:hAnsi="Arial"/>
                <w:sz w:val="24"/>
                <w:szCs w:val="24"/>
              </w:rPr>
              <w:t xml:space="preserve">,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1219204,8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1900631,6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2180034,0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2495484,5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2880982,0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426739,2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517983,0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622206,8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737379,2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863394,0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1004464,0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1184855,2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98518,7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114624,5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133681,5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157172,9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183155,8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211855,2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245051,7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57817,9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77251,0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100485,7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132031,7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168897,0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213369,2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272189,8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57211,1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62516,5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68257,4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74615,0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81610,5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89946,1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99222,2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bl>
    <w:p>
      <w:pPr>
        <w:spacing w:after="120" w:before="120"/>
        <w:ind w:firstLine="567"/>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120"/>
        <w:ind w:firstLine="567"/>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0"/>
        <w:gridCol w:w="1089"/>
        <w:gridCol w:w="1008"/>
        <w:gridCol w:w="1008"/>
        <w:gridCol w:w="1008"/>
        <w:gridCol w:w="1008"/>
        <w:gridCol w:w="1008"/>
        <w:gridCol w:w="1008"/>
      </w:tblGrid>
      <w:tr>
        <w:tc>
          <w:tcPr>
            <w:tcW w:type="dxa" w:w="30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395637,1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438161,0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483501,1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531007,5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585409,7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643907,1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702933,4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184507,3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209132,4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234501,9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259688,3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288618,1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318443,9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344503,8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53238,2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59243,4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64133,9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69629,1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75813,6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82785,5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90746,1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2708,8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8582,9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4049,1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4853,4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2430,9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43718,9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48538,4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54051,6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45360,0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48961,6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57542,8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62713,3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68809,0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5991,4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10536,5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21618,8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25748,7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34313,1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31174,5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45259,9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52341,3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61313,0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68788,0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69083,9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193110,9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210722,8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230367,4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252302,9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277324,9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305479,8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337877,1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млн. сом</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116777,6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127859,3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140913,7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155597,1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172619,4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191960,7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214573,7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62031,6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73338,0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79546,1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86445,5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94123,6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102680,1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8590,2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12852,8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9982,9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10132,6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10304,9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10511,0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10742,2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11010,8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11308,1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1199,6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1206,8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6798,0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6933,9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7086,5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7263,6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7481,5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7728,4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7998,9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Прогнозу социально-экономического развития Кыргызской Республики на 2026-2030 годы</w:t>
      </w:r>
    </w:p>
    <w:p>
      <w:pPr>
        <w:spacing w:after="120"/>
        <w:jc w:val="center"/>
      </w:pPr>
      <w:r>
        <w:rPr>
          <w:rFonts w:ascii="Arial" w:cs="Arial" w:eastAsia="Arial" w:hAnsi="Arial"/>
          <w:b/>
          <w:bCs/>
          <w:sz w:val="24"/>
          <w:szCs w:val="24"/>
        </w:rPr>
        <w:t xml:space="preserve">ПРОГНОЗ
 развития промышленности Кыргызской Республики на 2026-2030 годы, с учетом стоимости переработки давальческого сырья, но без учета покупной электроэнергии</w:t>
      </w:r>
      <w:r>
        <w:rPr>
          <w:rFonts w:ascii="Arial" w:cs="Arial" w:eastAsia="Arial" w:hAnsi="Arial"/>
          <w:sz w:val="24"/>
          <w:szCs w:val="24"/>
        </w:rPr>
        <w:t xml:space="preserve">(1)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1"/>
        <w:gridCol w:w="1049"/>
        <w:gridCol w:w="1049"/>
        <w:gridCol w:w="1049"/>
        <w:gridCol w:w="1049"/>
        <w:gridCol w:w="1164"/>
        <w:gridCol w:w="1164"/>
        <w:gridCol w:w="1164"/>
      </w:tblGrid>
      <w:tr>
        <w:tc>
          <w:tcPr>
            <w:tcW w:type="dxa" w:w="24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603792,7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698520,6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795882,3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914188,3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1081000,2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1245606,2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1383948,4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349756,4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409410,1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472683,4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532552,4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582485,1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646751,3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713709,4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386003,3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458854,5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528992,8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580962,7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607139,3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649928,6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743595,0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63688,9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75149,5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81213,3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86755,3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91447,8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94414,2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13742,6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12580,7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15223,6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40967,2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45029,9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56270,9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59319,1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60809,6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489179,2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571674,6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657461,8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758724,9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914213,5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1068126,3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1194502,2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105372,5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128042,7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150510,4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172925,4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192291,9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221937,1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253012,9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23990,8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32161,2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36297,2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46843,2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51775,8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7571,2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8853,1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9209,8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31473,0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36467,4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41864,6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47934,9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53801,4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57289,5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74640,7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81489,8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98679,5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269934,3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306825,2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342671,0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401993,3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519489,1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620468,6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692498,6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3321,8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16356,9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10309,6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12293,8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50549,0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56241,7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66545,0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77233,5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85674,7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6584,1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2024 год - по внутренней разбивке отраслей промышленности.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развития промышленности Кыргызской Республики на 2026-2030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1"/>
        <w:gridCol w:w="1049"/>
        <w:gridCol w:w="1049"/>
        <w:gridCol w:w="1049"/>
        <w:gridCol w:w="1049"/>
        <w:gridCol w:w="1164"/>
        <w:gridCol w:w="1164"/>
        <w:gridCol w:w="1164"/>
      </w:tblGrid>
      <w:tr>
        <w:tc>
          <w:tcPr>
            <w:tcW w:type="dxa" w:w="24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585275,8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675301,1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768077,0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883615,5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1043012,9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1198941,4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1337095,7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339922,7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396072,7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455925,4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515024,2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561537,6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620556,0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689766,1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374930,6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435635,1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501187,6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550389,8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569152,1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603263,9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696742,3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62662,2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68620,6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74012,4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85513,3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90137,4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93038,3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13742,6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12141,2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13847,6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40967,2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45029,9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56270,9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59319,1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60809,6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451365,5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526649,8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605107,4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698268,0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844014,6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986483,3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1108817,5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87358,7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106153,3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124780,2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143363,2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159418,9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183996,2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216150,6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27436,7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34641,1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44169,9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5839,1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6724,9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8678,4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21148,2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28130,8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32209,8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36151,7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57289,5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74640,7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81489,8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98679,5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261251,1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296943,1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331623,8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388948,6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502449,4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599999,1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669589,2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3321,8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16356,9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8765,7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10203,9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11142,7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65554,7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73636,4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82131,0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97860,6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105503,5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113780,7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126157,9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5693,4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6826,3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7480,0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7981,5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8540,1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9082,0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2"/>
        <w:gridCol w:w="943"/>
        <w:gridCol w:w="910"/>
        <w:gridCol w:w="976"/>
        <w:gridCol w:w="976"/>
        <w:gridCol w:w="976"/>
        <w:gridCol w:w="976"/>
        <w:gridCol w:w="976"/>
      </w:tblGrid>
      <w:tr>
        <w:tc>
          <w:tcPr>
            <w:tcW w:type="dxa" w:w="34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 факт</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673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4396,3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318,7</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69948,3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71292,1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72612,4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73700,0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8792,6</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9733,4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10755,4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11863,2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13168,2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14616,7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16239,1</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2798,2</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5162,1</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5150,2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5407,7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5678,1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6260,1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6573,1</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11088,8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11255,2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11595,4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11769,3</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27273,5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34746,4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35267,6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35796,6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36333,5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36878,5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37431,7</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плодово-ягодные,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403,8</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20466,5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24091,5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27436,7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30965,1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34641,1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39961,9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44169,9</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510,1</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14831,4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15297,7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17133,4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17390,4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17790,4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18502,0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3045,6</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3294,0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3607,5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3744,6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3875,0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развития сферы услуг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9"/>
        <w:gridCol w:w="1113"/>
        <w:gridCol w:w="1113"/>
        <w:gridCol w:w="1113"/>
        <w:gridCol w:w="1113"/>
        <w:gridCol w:w="1113"/>
        <w:gridCol w:w="1113"/>
        <w:gridCol w:w="1113"/>
      </w:tblGrid>
      <w:tr>
        <w:tc>
          <w:tcPr>
            <w:tcW w:type="dxa" w:w="2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1219204,8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1900631,6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2180034,0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2495484,5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2880982,0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426739,2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517983,0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622206,8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737379,2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863394,0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1004464,0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1184855,2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98518,7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114624,5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133681,5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157172,9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183155,8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211855,2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245051,7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57817,9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77251,0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100485,7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132031,7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168897,0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213369,2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272189,8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57211,1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62516,5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68257,4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74615,0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81610,5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89946,1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99222,2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w:t>
            </w:r>
            <w:r>
              <w:rPr>
                <w:rFonts w:ascii="Arial" w:cs="Arial" w:eastAsia="Arial" w:hAnsi="Arial"/>
                <w:b/>
                <w:bCs/>
                <w:sz w:val="24"/>
                <w:szCs w:val="24"/>
              </w:rPr>
              <w:t xml:space="preserve">посредничество и страхование</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121796,5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133318,6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146490,5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161301,8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176270,3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194480,8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214583,9</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103252,8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114510,3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125268,2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137827,2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150636,6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165267,0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182881,7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33392,9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41660,6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49093,4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55995,4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63924,6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73055,5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82866,7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13390,3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13879,8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14648,4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15560,4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16649,7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17813,8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18985,7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108298,4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119626,9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132563,4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144447,4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156860,7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168718,4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182894,1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94008,5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102109,3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110858,3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120016,3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131428,7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144750,3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157761,4</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60088,7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75473,0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90414,2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105159,4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122388,5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141013,6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162502,2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12276,9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14038,3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15881,6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22727,6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25478,5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32079,8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34696,4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37651,1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40757,6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44122,1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47447,2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51069,8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464,4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575,8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объема оказанных рыночных услуг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9"/>
        <w:gridCol w:w="1144"/>
        <w:gridCol w:w="1111"/>
        <w:gridCol w:w="1111"/>
        <w:gridCol w:w="1111"/>
        <w:gridCol w:w="1111"/>
        <w:gridCol w:w="1111"/>
        <w:gridCol w:w="1111"/>
      </w:tblGrid>
      <w:tr>
        <w:tc>
          <w:tcPr>
            <w:tcW w:type="dxa" w:w="23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2143515,8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2562301,1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3034688,2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3556184,8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4125641,6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4762784,9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5568207,6</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 оптовой и розничной торговли; ремонта автомобилей и мотоциклов</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1706402,9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2061809,7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2465315,4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2908165,4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3389379,3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3924808,0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4608271,7</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55396,0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73758,9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95606,8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125182,5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159569,0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200868,1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255335,2</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55790,2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60963,9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66562,1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72761,8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79583,6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87712,2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96757,9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325926,7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365768,6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407203,8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450075,1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497109,7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549396,7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607842,7</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объема инвестиций в основной капитал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3"/>
        <w:gridCol w:w="1057"/>
        <w:gridCol w:w="1008"/>
        <w:gridCol w:w="1008"/>
        <w:gridCol w:w="1008"/>
        <w:gridCol w:w="1008"/>
        <w:gridCol w:w="1008"/>
        <w:gridCol w:w="1008"/>
      </w:tblGrid>
      <w:tr>
        <w:tc>
          <w:tcPr>
            <w:tcW w:type="dxa" w:w="30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250595,3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313318,5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392561,5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483592,0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585357,3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694287,0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811372,9</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r>
              <w:rPr>
                <w:rFonts w:ascii="Arial" w:cs="Arial" w:eastAsia="Arial" w:hAnsi="Arial"/>
                <w:sz w:val="24"/>
                <w:szCs w:val="24"/>
              </w:rPr>
              <w:t xml:space="preserve">,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211834,4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251172,1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317594,1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394225,2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477663,7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566411,2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661466,8</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53745,7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9509,1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12580,5</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99799,5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136294,4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176404,6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221365,5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269610,9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322255,7</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16271,4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17573,9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18404,5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20519,3</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67303,9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98972,9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132964,8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168149,3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205355,2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244764,4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286111,3</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r>
              <w:rPr>
                <w:rFonts w:ascii="Arial" w:cs="Arial" w:eastAsia="Arial" w:hAnsi="Arial"/>
                <w:sz w:val="24"/>
                <w:szCs w:val="24"/>
              </w:rPr>
              <w:t xml:space="preserve">,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38760,9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62146,4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74967,4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89366,8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107693,6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127875,8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149906,1</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18987,9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26537,5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36086,7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47271,3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61893,8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78227,9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96428,6</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21353,3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24621,7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26493,1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30449,3</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21209,4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23028,2</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экспорта и импорта товаров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9"/>
        <w:gridCol w:w="1372"/>
        <w:gridCol w:w="980"/>
        <w:gridCol w:w="915"/>
        <w:gridCol w:w="980"/>
        <w:gridCol w:w="980"/>
        <w:gridCol w:w="980"/>
        <w:gridCol w:w="980"/>
        <w:gridCol w:w="980"/>
      </w:tblGrid>
      <w:tr>
        <w:tc>
          <w:tcPr>
            <w:tcW w:type="dxa" w:w="20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3827,7</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4522,7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5411,7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5771,7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6131,7</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12214,0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15812,3</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-8386,3</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-8049,6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-8910,6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-9270,6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-9680,6</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16041,7</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17095,0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20814,0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21944,0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экспорта основных видов продукции из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0"/>
        <w:gridCol w:w="1384"/>
        <w:gridCol w:w="928"/>
        <w:gridCol w:w="831"/>
        <w:gridCol w:w="977"/>
        <w:gridCol w:w="977"/>
        <w:gridCol w:w="977"/>
        <w:gridCol w:w="977"/>
        <w:gridCol w:w="977"/>
      </w:tblGrid>
      <w:tr>
        <w:tc>
          <w:tcPr>
            <w:tcW w:type="dxa" w:w="21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3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8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товаров</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4522,7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4861,7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5411,7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5771,7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6131,7</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импорта основных товаров в Кыргызскую Республику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1"/>
        <w:gridCol w:w="1254"/>
        <w:gridCol w:w="912"/>
        <w:gridCol w:w="896"/>
        <w:gridCol w:w="977"/>
        <w:gridCol w:w="977"/>
        <w:gridCol w:w="977"/>
        <w:gridCol w:w="977"/>
        <w:gridCol w:w="977"/>
      </w:tblGrid>
      <w:tr>
        <w:tc>
          <w:tcPr>
            <w:tcW w:type="dxa" w:w="22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9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12214,0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12302,3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12572,3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13502,3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14322,3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15042,3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15812,3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3515,8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4585,6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и механические устройства, специально предназначенные для конкретных отраслей и их части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 и их части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Черный металл и изделия из него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Одежда и ее принадлежности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ПРОГНОЗНЫЕ ПОКАЗАТЕЛИ
 развития регионов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9"/>
        <w:gridCol w:w="1155"/>
        <w:gridCol w:w="1089"/>
        <w:gridCol w:w="1089"/>
        <w:gridCol w:w="1122"/>
        <w:gridCol w:w="1122"/>
        <w:gridCol w:w="1122"/>
        <w:gridCol w:w="1122"/>
      </w:tblGrid>
      <w:tr>
        <w:tc>
          <w:tcPr>
            <w:tcW w:type="dxa" w:w="2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1523235,8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2398447,3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2779309,1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3190869,9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3663594,8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48586,1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54667,2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60854,7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67533,6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76470,1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84686,6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93673,8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179596,9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204639,3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235239,7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272367,6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310913,3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354547,9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146625,2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164328,0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186804,5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213848,4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242078,0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269593,6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61965,4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62529,4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80109,4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103668,6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119406,0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134725,4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153649,0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179280,2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234386,3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47956,8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54560,1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67735,2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77299,6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97267,5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215070,7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253976,1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276580,8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325357,3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426076,3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492217,4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558926,9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702746,8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833230,4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982252,1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1155400,3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1529396,1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1789312,1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129780,8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144762,3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168370,3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185777,4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395637,1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438161,0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483501,1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531007,5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585409,7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643907,1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702933,4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35972,7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41062,6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43871,5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76302,7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83872,5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93937,2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122255,7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132434,8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54482,6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58895,7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76289,1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83918,0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36190,0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41252,2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44964,9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84495,8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103959,4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116278,6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127873,9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30416,5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33154,0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38749,9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42237,4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46038,8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50182,3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132392,9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149589,4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166044,2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182648,6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200913,5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10739,0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4888,0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w:t>
            </w:r>
            <w:r>
              <w:rPr>
                <w:rFonts w:ascii="Arial" w:cs="Arial" w:eastAsia="Arial" w:hAnsi="Arial"/>
                <w:sz w:val="24"/>
                <w:szCs w:val="24"/>
              </w:rPr>
              <w:t xml:space="preserve">(с учетом стоимости переработки давальческого сырья, без учета покупной электроэнергии) (млн. сомов)(2)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603792,7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698520,6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795882,3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914188,3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1081000,2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1245606,2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1383948,4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57387,0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64936,9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94027,9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106248,2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117582,7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98352,9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108208,8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119730,8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153356,8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187626,9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6862,8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11635,3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19411,1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24354,2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34818,6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38344,6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34086,4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38333,6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42014,2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46358,2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51468,3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56844,5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61940,4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278947,1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334221,5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390009,9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458046,1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564756,6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665707,7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747557,1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90431,9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103084,6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115715,4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130261,4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147798,9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166520,9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184287,8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21198,5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
 </w:t>
            </w:r>
            <w:r>
              <w:rPr>
                <w:rFonts w:ascii="Arial" w:cs="Arial" w:eastAsia="Arial" w:hAnsi="Arial"/>
                <w:sz w:val="24"/>
                <w:szCs w:val="24"/>
              </w:rPr>
              <w:t xml:space="preserve">(без учета стоимости переработки давальческого сырья, но с учетом покупной электроэнергии)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585275,8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768077,0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883615,5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1043012,9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1198941,4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1337095,7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56742,2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64358,4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72449,4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82134,8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102530,0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113682,5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96485,4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105712,6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116743,2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131726,2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167673,8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182686,6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11303,2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24146,3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30667,2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33939,5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37376,5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41650,3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45956,7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50925,0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60190,8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264874,3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316188,7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368539,2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434069,1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535443,7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633665,9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714507,2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88848,4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101519,7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113635,0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128159,7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144870,3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163910,6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182774,5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21024,3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1219204,8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1900631,6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2180034,0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2495484,5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2880982,0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43291,3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48916,8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61813,3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76139,5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119751,3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139380,6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210494,5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273895,4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55093,4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62017,1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69748,0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77924,1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87059,9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98374,9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41491,5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47493,0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54254,2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70028,9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80232,0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84365,7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99200,1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115358,8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176178,4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204470,2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30890,1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35465,1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46135,9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52570,3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60466,3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121210,4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144649,3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199817,4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233246,4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271495,3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320139,4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656 794,4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768 180,1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896 087,3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1 037 638,7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1 195 234,9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1 374 527,7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1 591 225,2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83505,8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94259,2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105903,6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118993,1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133189,0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148380,6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167032,7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w:t>
            </w:r>
            <w:r>
              <w:rPr>
                <w:rFonts w:ascii="Arial" w:cs="Arial" w:eastAsia="Arial" w:hAnsi="Arial"/>
                <w:sz w:val="24"/>
                <w:szCs w:val="24"/>
              </w:rPr>
              <w:t xml:space="preserve"> (млн. сомов)(4)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426739,2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517983,0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622206,8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737379,2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863394,0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1004464,0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1184855,2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10389,6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20681,7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23591,7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56876,9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68516,1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79284,9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107779,8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130500,0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27293,3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35512,6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19673,6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25482,9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34049,7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49601,3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57134,9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63893,5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72917,4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86016,9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16623,8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19104,0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60745,8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73344,5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93621,3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146051,8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168575,7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197982,3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210587,6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257378,0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301731,6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354166,2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411048,6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483688,5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569949,2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34988,2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58965,6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71326,4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81815,2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96715,7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2143515,8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2562301,1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3034688,2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3556184,8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4125641,6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4762784,9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5568207,6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34131,8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38529,1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47718,6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52143,5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57098,7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161370,2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188827,0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217559,3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248285,2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280257,9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315401,4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358668,8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57146,2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66212,0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75801,9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85961,5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96130,2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107485,5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121559,9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31247,2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37119,5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43561,7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65838,7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101543,5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122759,8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146338,8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175241,3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205225,7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240496,9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284948,4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44628,1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53877,8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58148,5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68868,3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280659,5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354803,1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436659,1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526305,8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626160,8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735428,1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879159,5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1313856,5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1576431,2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1879830,8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2216037,5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2588925,9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3006799,2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3534313,0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128571,0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138863,6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149095,4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159195,4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168638,5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180033,4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191850,1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1706402,9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2061809,7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2465315,4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2908165,4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3389379,3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3924808,0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4608271,7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26275,2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36074,6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46043,2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134375,3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185891,1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218761,2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254664,3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294214,0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344071,5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46446,6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62762,3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72529,5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108026,5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18237,8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30253,3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33448,3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37330,3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93419,5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107137,7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121741,3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136776,4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151658,9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167040,1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186096,0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33114,5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37164,4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49533,4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259726,7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339680,3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515238,1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622566,7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742784,0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898320,0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993004,9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1204200,9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1454125,9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1727771,3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2023749,7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2356586,2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2779761,4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101802,4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112872,1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121465,5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129841,8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137691,9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145057,3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155619,2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285709,7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360380,2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445835,7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560756,6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684105,1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806173,4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956936,7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48861,7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60373,8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73925,0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91839,3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112567,1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165122,7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40771,9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65562,0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82317,1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100070,5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118982,3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18984,5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25483,2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31258,6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36055,8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41624,9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49461,2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59173,9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68676,4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17918,5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45872,8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59679,7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72720,8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99512,9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91213,5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119684,0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156975,1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206651,2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257973,7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304676,7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362407,2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42191,0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49735,6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57042,1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64393,5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250595,3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313318,5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392561,5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483592,0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585357,3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694287,0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811372,9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16687,8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47198,8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53365,1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65437,4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98359,3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115598,7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140471,1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43729,4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59046,5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89672,3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127651,7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18369,1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56371,7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65222,7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16769,6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27915,7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75757,0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86903,1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72320,3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92283,5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126695,1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161984,4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199359,3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240028,0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277940,6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29408,9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39467,9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46052,3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54438,2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61357,2</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человек</w:t>
            </w:r>
            <w:r>
              <w:rPr>
                <w:rFonts w:ascii="Arial" w:cs="Arial" w:eastAsia="Arial" w:hAnsi="Arial"/>
                <w:sz w:val="24"/>
                <w:szCs w:val="24"/>
              </w:rPr>
              <w:t xml:space="preserve">(5)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2714,6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2976,0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3035,5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3099,3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263143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268406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273774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279249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284834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290531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296342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57771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37713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37299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17251</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r>
              <w:rPr>
                <w:rFonts w:ascii="Arial" w:cs="Arial" w:eastAsia="Arial" w:hAnsi="Arial"/>
                <w:sz w:val="24"/>
                <w:szCs w:val="24"/>
              </w:rPr>
              <w:t xml:space="preserve">(6)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37361,0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40705,6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44165,6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48008,0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52088,7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56672,5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61829,7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28182,0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33314,8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36213,2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39291,3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42749,0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46639,1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32283,0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41482,9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53426,0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47594,7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56132,9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66263,8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72293,8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38538,6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41814,4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45452,2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49315,6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53655,4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58538,1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25467,0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27746,9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38630,6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42146,0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34254,0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37320,5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40492,7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44015,6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47756,9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56687,8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46058,0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50181,2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64214,1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69864,9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76222,6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40368,8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47654,6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51991,2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7963,7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8465,4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8990,3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9484,8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10025,4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10596,8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11147,9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12995,1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8218,2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12851,4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13157,6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11969,6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8170,8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13613,1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7709,0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(2)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(4)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(5)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(6) Оценка Министерства экономики и коммерции Кыргызской Республики за 2024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r0brc4sclpyyyeasds">
      <w:r>
        <w:rPr>
          <w:rFonts w:ascii="Arial" w:cs="Arial" w:eastAsia="Arial" w:hAnsi="Arial"/>
          <w:color w:val="132D3F"/>
          <w:sz w:val="16"/>
          <w:szCs w:val="16"/>
          <w:u w:val="single"/>
        </w:rPr>
        <w:t xml:space="preserve">dalil.kg/document/230033231</w:t>
      </w:r>
    </w:hyperlink>
  </w:p>
  <w:p>
    <w:pPr>
      <w:spacing w:after="0" w:before="40"/>
      <w:jc w:val="center"/>
    </w:pPr>
    <w:hyperlink w:history="1" r:id="rIdvwmgfvc6m8mzj1nnlz8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ucovq5nti9ysrwymkyd" Type="http://schemas.openxmlformats.org/officeDocument/2006/relationships/hyperlink" Target="https://dalil.kg/document/230048194" TargetMode="External"/><Relationship Id="rIdrkwrkwxlsmqlxconi7g7b" Type="http://schemas.openxmlformats.org/officeDocument/2006/relationships/hyperlink" Target="https://dalil.kg/document/111338#st_74" TargetMode="External"/><Relationship Id="rIdvffjgbgw1d-gh5axpts9r" Type="http://schemas.openxmlformats.org/officeDocument/2006/relationships/hyperlink" Target="https://dalil.kg/document/112301#st_13" TargetMode="External"/><Relationship Id="rIdjaqlr092_r7qfus7vpgcw" Type="http://schemas.openxmlformats.org/officeDocument/2006/relationships/hyperlink" Target="https://dalil.kg/document/112301#st_17" TargetMode="External"/><Relationship Id="rIdttsxxsmr4zxu0ypnbwowx" Type="http://schemas.openxmlformats.org/officeDocument/2006/relationships/hyperlink" Target="https://dalil.kg/document/230033231#pr" TargetMode="External"/><Relationship Id="rIdpywoh32oryvwg7j8z2dal" Type="http://schemas.openxmlformats.org/officeDocument/2006/relationships/hyperlink" Target="https://dalil.kg/document/230011355" TargetMode="External"/><Relationship Id="rIdj53nm80p28yoizumq2xwe" Type="http://schemas.openxmlformats.org/officeDocument/2006/relationships/hyperlink" Target="https://dalil.kg/document/230021350" TargetMode="External"/><Relationship Id="rIdknkmuoarzkpmj0bx7sccx" Type="http://schemas.openxmlformats.org/officeDocument/2006/relationships/hyperlink" Target="https://dalil.kg/document/230015642" TargetMode="External"/><Relationship Id="rId3y5fmo8bgjvs6ov99afdv" Type="http://schemas.openxmlformats.org/officeDocument/2006/relationships/hyperlink" Target="https://dalil.kg/document/230020929" TargetMode="External"/><Relationship Id="rIdiaru3kadhbdin9jr3plr9" Type="http://schemas.openxmlformats.org/officeDocument/2006/relationships/hyperlink" Target="https://dalil.kg/document/230019303" TargetMode="External"/><Relationship Id="rIdwnudccxwedszlmbeg-2_e" Type="http://schemas.openxmlformats.org/officeDocument/2006/relationships/hyperlink" Target="https://dalil.kg/document/430002" TargetMode="External"/><Relationship Id="rIdmxrhrziin2sghozeuu7m5" Type="http://schemas.openxmlformats.org/officeDocument/2006/relationships/hyperlink" Target="https://dalil.kg/document/230021657" TargetMode="External"/><Relationship Id="rIdghboyjxornikvl5t-ugyg" Type="http://schemas.openxmlformats.org/officeDocument/2006/relationships/hyperlink" Target="https://dalil.kg/document/230021657" TargetMode="External"/><Relationship Id="rIdn75dshc_phslmpnq0ieyl" Type="http://schemas.openxmlformats.org/officeDocument/2006/relationships/hyperlink" Target="https://dalil.kg/document/430880" TargetMode="External"/><Relationship Id="rId-eczbxa3voqelafr9rkqi" Type="http://schemas.openxmlformats.org/officeDocument/2006/relationships/hyperlink" Target="https://dalil.kg/document/159443" TargetMode="External"/><Relationship Id="rIdxmcm_msbnnfasepvgk0sf" Type="http://schemas.openxmlformats.org/officeDocument/2006/relationships/hyperlink" Target="https://dalil.kg/document/159443" TargetMode="External"/><Relationship Id="rIdmbsmcixwjf89fualngukq" Type="http://schemas.openxmlformats.org/officeDocument/2006/relationships/hyperlink" Target="https://dalil.kg/document/112298" TargetMode="External"/><Relationship Id="rIduxssrfhw118o3etoizy_p" Type="http://schemas.openxmlformats.org/officeDocument/2006/relationships/hyperlink" Target="https://dalil.kg/document/158930" TargetMode="External"/><Relationship Id="rIddd6rbtczitmope8uugbhq" Type="http://schemas.openxmlformats.org/officeDocument/2006/relationships/hyperlink" Target="https://dalil.kg/document/230014855" TargetMode="External"/><Relationship Id="rIdydrqqt10-vavw49eosmc8" Type="http://schemas.openxmlformats.org/officeDocument/2006/relationships/hyperlink" Target="https://dalil.kg/document/230023927" TargetMode="External"/><Relationship Id="rIdiumkldu7udszyb4ag1ocu" Type="http://schemas.openxmlformats.org/officeDocument/2006/relationships/hyperlink" Target="https://dalil.kg/document/430338" TargetMode="External"/><Relationship Id="rIdoj2lc1yw8dfq9fh0lvgx0" Type="http://schemas.openxmlformats.org/officeDocument/2006/relationships/hyperlink" Target="https://dalil.kg/document/430984" TargetMode="External"/><Relationship Id="rIdaylqy6thzaltqa1b9nb98" Type="http://schemas.openxmlformats.org/officeDocument/2006/relationships/hyperlink" Target="https://dalil.kg/document/160028" TargetMode="External"/><Relationship Id="rId2gp0bebpmjd-odbjxixe4" Type="http://schemas.openxmlformats.org/officeDocument/2006/relationships/hyperlink" Target="https://dalil.kg/document/160027" TargetMode="External"/><Relationship Id="rIdtgmmzifyhhv_rmvd9diew" Type="http://schemas.openxmlformats.org/officeDocument/2006/relationships/hyperlink" Target="https://dalil.kg/document/160028" TargetMode="External"/><Relationship Id="rId_q6ralecv8s-8b1bi4hlo" Type="http://schemas.openxmlformats.org/officeDocument/2006/relationships/hyperlink" Target="https://dalil.kg/document/158866" TargetMode="External"/><Relationship Id="rIdidwro7dzai4bacl8z3tsn" Type="http://schemas.openxmlformats.org/officeDocument/2006/relationships/hyperlink" Target="https://dalil.kg/document/158749" TargetMode="External"/><Relationship Id="rIdiiuxesqjvhmj8xuzur-ci" Type="http://schemas.openxmlformats.org/officeDocument/2006/relationships/hyperlink" Target="https://dalil.kg/document/158866" TargetMode="External"/><Relationship Id="rIdpb8jy6vfovq8xussxopt4" Type="http://schemas.openxmlformats.org/officeDocument/2006/relationships/hyperlink" Target="https://dalil.kg/document/430381" TargetMode="External"/><Relationship Id="rId8_-8png-9f8cfewueiaw3" Type="http://schemas.openxmlformats.org/officeDocument/2006/relationships/hyperlink" Target="https://dalil.kg/document/430002" TargetMode="External"/><Relationship Id="rIdni5bcqplbh4bxsewc6yrq" Type="http://schemas.openxmlformats.org/officeDocument/2006/relationships/hyperlink" Target="https://dalil.kg/document/100162" TargetMode="External"/><Relationship Id="rId9xp7jhklsrajfecydqd1y" Type="http://schemas.openxmlformats.org/officeDocument/2006/relationships/hyperlink" Target="https://dalil.kg/document/160374" TargetMode="External"/><Relationship Id="rId5k1zyqpdzfrqzvfl8yjpy" Type="http://schemas.openxmlformats.org/officeDocument/2006/relationships/hyperlink" Target="https://dalil.kg/document/160373" TargetMode="External"/><Relationship Id="rIdcmwogasipbdslruha4r1a" Type="http://schemas.openxmlformats.org/officeDocument/2006/relationships/hyperlink" Target="https://dalil.kg/document/160374" TargetMode="External"/><Relationship Id="rIdw7ooix7iedydmylpmyyy_" Type="http://schemas.openxmlformats.org/officeDocument/2006/relationships/hyperlink" Target="https://dalil.kg/document/230000206" TargetMode="External"/><Relationship Id="rIdawzzfyupkkwmn9yp-fwyo" Type="http://schemas.openxmlformats.org/officeDocument/2006/relationships/hyperlink" Target="https://dalil.kg/document/230000204" TargetMode="External"/><Relationship Id="rId0vyez7wcy1cdlo_x5leji" Type="http://schemas.openxmlformats.org/officeDocument/2006/relationships/hyperlink" Target="https://dalil.kg/document/230000206" TargetMode="External"/><Relationship Id="rIda8to5jzsh3nukel97vuax" Type="http://schemas.openxmlformats.org/officeDocument/2006/relationships/hyperlink" Target="https://dalil.kg/document/219019" TargetMode="External"/><Relationship Id="rIdm2rj1ki0shpat2wmc1ozr" Type="http://schemas.openxmlformats.org/officeDocument/2006/relationships/hyperlink" Target="https://dalil.kg/document/430002" TargetMode="External"/><Relationship Id="rId_7c4axyrnjnw8l8gxnu24" Type="http://schemas.openxmlformats.org/officeDocument/2006/relationships/hyperlink" Target="https://dalil.kg/document/435085" TargetMode="External"/><Relationship Id="rIdstao64hq6tmgoi4ya91-d" Type="http://schemas.openxmlformats.org/officeDocument/2006/relationships/hyperlink" Target="https://dalil.kg/document/430340" TargetMode="External"/><Relationship Id="rIddgguvhoupguweczpnlstf" Type="http://schemas.openxmlformats.org/officeDocument/2006/relationships/hyperlink" Target="https://dalil.kg/document/160028" TargetMode="External"/><Relationship Id="rIdkynmea83raed5g7b1rocy" Type="http://schemas.openxmlformats.org/officeDocument/2006/relationships/hyperlink" Target="https://dalil.kg/document/160027" TargetMode="External"/><Relationship Id="rIdpzaknn2e7soqpka-mdjwg" Type="http://schemas.openxmlformats.org/officeDocument/2006/relationships/hyperlink" Target="https://dalil.kg/document/160028" TargetMode="External"/><Relationship Id="rIdxhzqjt57tkb6f3qhwuch3" Type="http://schemas.openxmlformats.org/officeDocument/2006/relationships/hyperlink" Target="https://dalil.kg/document/230000206" TargetMode="External"/><Relationship Id="rIdi-0pcuamit_pnjqsu1lnr" Type="http://schemas.openxmlformats.org/officeDocument/2006/relationships/hyperlink" Target="https://dalil.kg/document/230000204" TargetMode="External"/><Relationship Id="rIdxpgdhphzkujc4b4nq0xlm" Type="http://schemas.openxmlformats.org/officeDocument/2006/relationships/hyperlink" Target="https://dalil.kg/document/230000206" TargetMode="External"/><Relationship Id="rId071_jno8d1r2hpy2cmp9l" Type="http://schemas.openxmlformats.org/officeDocument/2006/relationships/hyperlink" Target="https://dalil.kg/document/230024254" TargetMode="External"/><Relationship Id="rIdl9zyw1n35disogl-i7nx-" Type="http://schemas.openxmlformats.org/officeDocument/2006/relationships/hyperlink" Target="https://dalil.kg/document/230024250" TargetMode="External"/><Relationship Id="rIduxrwhebafhhnkohgynec3" Type="http://schemas.openxmlformats.org/officeDocument/2006/relationships/hyperlink" Target="https://dalil.kg/document/230024254" TargetMode="External"/><Relationship Id="rIddqgmme0hutm0ao844vyyx" Type="http://schemas.openxmlformats.org/officeDocument/2006/relationships/hyperlink" Target="https://dalil.kg/document/230005812" TargetMode="External"/><Relationship Id="rId7u788kjrotejyrk7_uocy" Type="http://schemas.openxmlformats.org/officeDocument/2006/relationships/hyperlink" Target="https://dalil.kg/document/230005812" TargetMode="External"/><Relationship Id="rIdaifamk80nfawe_hloo5bu" Type="http://schemas.openxmlformats.org/officeDocument/2006/relationships/hyperlink" Target="https://dalil.kg/document/157432" TargetMode="External"/><Relationship Id="rIdoapkz9baks2mmh00txf4a" Type="http://schemas.openxmlformats.org/officeDocument/2006/relationships/hyperlink" Target="https://dalil.kg/document/157430" TargetMode="External"/><Relationship Id="rIdv_7inz_x2sylozal0hxef" Type="http://schemas.openxmlformats.org/officeDocument/2006/relationships/hyperlink" Target="https://dalil.kg/document/430002" TargetMode="External"/><Relationship Id="rIdddzfmaeb8y5td7nmh2osk" Type="http://schemas.openxmlformats.org/officeDocument/2006/relationships/hyperlink" Target="https://dalil.kg/document/230004645" TargetMode="External"/><Relationship Id="rId-ty_xffh3ajngcmk7bhwf" Type="http://schemas.openxmlformats.org/officeDocument/2006/relationships/hyperlink" Target="https://dalil.kg/document/230004642" TargetMode="External"/><Relationship Id="rIdvkchtwkxwhjk7wgb2erjk" Type="http://schemas.openxmlformats.org/officeDocument/2006/relationships/hyperlink" Target="https://dalil.kg/document/230004645" TargetMode="External"/><Relationship Id="rIdnyvg6vwmpelorf8ckbdzl" Type="http://schemas.openxmlformats.org/officeDocument/2006/relationships/hyperlink" Target="https://dalil.kg/document/230005514" TargetMode="External"/><Relationship Id="rId0vnhuoqif2acxbjberqwk" Type="http://schemas.openxmlformats.org/officeDocument/2006/relationships/hyperlink" Target="https://dalil.kg/document/230005505" TargetMode="External"/><Relationship Id="rIdt4t9dcw4tf7ljpz-tqzkn" Type="http://schemas.openxmlformats.org/officeDocument/2006/relationships/hyperlink" Target="https://dalil.kg/document/230005514" TargetMode="External"/><Relationship Id="rIdnuivkmpae26sdmygwtgpp" Type="http://schemas.openxmlformats.org/officeDocument/2006/relationships/hyperlink" Target="https://dalil.kg/document/159870" TargetMode="External"/><Relationship Id="rIdmrsbhitz3lmgqjxskr5_v" Type="http://schemas.openxmlformats.org/officeDocument/2006/relationships/hyperlink" Target="https://dalil.kg/document/159827" TargetMode="External"/><Relationship Id="rIdidcxpdz7_8miiisago3c4" Type="http://schemas.openxmlformats.org/officeDocument/2006/relationships/hyperlink" Target="https://dalil.kg/document/159870" TargetMode="External"/><Relationship Id="rIdbxvjzfnist79wsjiankb-" Type="http://schemas.openxmlformats.org/officeDocument/2006/relationships/hyperlink" Target="https://dalil.kg/document/230020056" TargetMode="External"/><Relationship Id="rIdjmyfgx2xap2sq73vpbbg1" Type="http://schemas.openxmlformats.org/officeDocument/2006/relationships/hyperlink" Target="https://dalil.kg/document/230019998" TargetMode="External"/><Relationship Id="rIdygszg7pnwtxjk0ctw01hp" Type="http://schemas.openxmlformats.org/officeDocument/2006/relationships/hyperlink" Target="https://dalil.kg/document/230020056" TargetMode="External"/><Relationship Id="rIdyimrii4q-o5j8wulsbrfq" Type="http://schemas.openxmlformats.org/officeDocument/2006/relationships/hyperlink" Target="https://dalil.kg/document/159198" TargetMode="External"/><Relationship Id="rIdqeday9s4qzyhz61pzkshh" Type="http://schemas.openxmlformats.org/officeDocument/2006/relationships/hyperlink" Target="https://dalil.kg/document/159199" TargetMode="External"/><Relationship Id="rIdvwivtdl_oq93cdlm5uwbj" Type="http://schemas.openxmlformats.org/officeDocument/2006/relationships/hyperlink" Target="https://dalil.kg/document/230020708" TargetMode="External"/><Relationship Id="rIdafzflknkh7qyrhrw_qoho" Type="http://schemas.openxmlformats.org/officeDocument/2006/relationships/hyperlink" Target="https://dalil.kg/document/230020699" TargetMode="External"/><Relationship Id="rIdknurfbtvpp7b0vzgscu-q" Type="http://schemas.openxmlformats.org/officeDocument/2006/relationships/hyperlink" Target="https://dalil.kg/document/230020708" TargetMode="External"/><Relationship Id="rIdblwrqvbujztli18kw7mtd" Type="http://schemas.openxmlformats.org/officeDocument/2006/relationships/hyperlink" Target="https://dalil.kg/document/230013105" TargetMode="External"/><Relationship Id="rId2jlmf4m0hh3hni-vhlnyt" Type="http://schemas.openxmlformats.org/officeDocument/2006/relationships/hyperlink" Target="https://dalil.kg/document/430002" TargetMode="External"/><Relationship Id="rIdem63dko5b_sjlk_kxs68r" Type="http://schemas.openxmlformats.org/officeDocument/2006/relationships/hyperlink" Target="https://dalil.kg/document/159870" TargetMode="External"/><Relationship Id="rIdbcuzema6onbi__wcident" Type="http://schemas.openxmlformats.org/officeDocument/2006/relationships/hyperlink" Target="https://dalil.kg/document/159827" TargetMode="External"/><Relationship Id="rId2d-cmx4oczdchikhadbzc" Type="http://schemas.openxmlformats.org/officeDocument/2006/relationships/hyperlink" Target="https://dalil.kg/document/159870" TargetMode="External"/><Relationship Id="rIdkwg4b-nvq9ehjv1ojey63" Type="http://schemas.openxmlformats.org/officeDocument/2006/relationships/hyperlink" Target="https://dalil.kg/document/230007085" TargetMode="External"/><Relationship Id="rIdkknhjvh2os1tmrnbhohpq" Type="http://schemas.openxmlformats.org/officeDocument/2006/relationships/hyperlink" Target="https://dalil.kg/document/160066" TargetMode="External"/><Relationship Id="rIdt1uuccgxa5hzglldcbmph" Type="http://schemas.openxmlformats.org/officeDocument/2006/relationships/hyperlink" Target="https://dalil.kg/document/434830" TargetMode="External"/><Relationship Id="rId2pv_gbbae9sl0tneg1dta" Type="http://schemas.openxmlformats.org/officeDocument/2006/relationships/hyperlink" Target="https://dalil.kg/document/230024254" TargetMode="External"/><Relationship Id="rIdbfob3y034tvfmyhsnse4s" Type="http://schemas.openxmlformats.org/officeDocument/2006/relationships/hyperlink" Target="https://dalil.kg/document/230024250" TargetMode="External"/><Relationship Id="rIddtqi4jurzi_u6p0plmupl" Type="http://schemas.openxmlformats.org/officeDocument/2006/relationships/hyperlink" Target="https://dalil.kg/document/230024254" TargetMode="External"/><Relationship Id="rIdmqefoknq5p9dt6qahiqil" Type="http://schemas.openxmlformats.org/officeDocument/2006/relationships/hyperlink" Target="https://dalil.kg/document/230010737" TargetMode="External"/><Relationship Id="rIdmucvvir6tvqxh48vz9nji" Type="http://schemas.openxmlformats.org/officeDocument/2006/relationships/hyperlink" Target="https://dalil.kg/document/230010737" TargetMode="External"/><Relationship Id="rIdrf6f_mx4lilfojnx-1k9j" Type="http://schemas.openxmlformats.org/officeDocument/2006/relationships/hyperlink" Target="https://dalil.kg/document/230015308" TargetMode="External"/><Relationship Id="rIdmtuv2be8j0m-tmbukh_fo" Type="http://schemas.openxmlformats.org/officeDocument/2006/relationships/hyperlink" Target="https://dalil.kg/document/230015303" TargetMode="External"/><Relationship Id="rIdr_5ekg9-sz1ktrnx6ci3o" Type="http://schemas.openxmlformats.org/officeDocument/2006/relationships/hyperlink" Target="https://dalil.kg/document/230015308" TargetMode="External"/><Relationship Id="rIdx74opqcwape8n2h4o5xvj" Type="http://schemas.openxmlformats.org/officeDocument/2006/relationships/hyperlink" Target="https://dalil.kg/document/160038" TargetMode="External"/><Relationship Id="rIdgvjsfhlr9y3ksnusr3hjx" Type="http://schemas.openxmlformats.org/officeDocument/2006/relationships/hyperlink" Target="https://dalil.kg/document/160037" TargetMode="External"/><Relationship Id="rIdec3jvh_sgq6x7nzkwujoc" Type="http://schemas.openxmlformats.org/officeDocument/2006/relationships/hyperlink" Target="https://dalil.kg/document/160038" TargetMode="External"/><Relationship Id="rIdxo3yxcjn1ikvhqrh8xh2n" Type="http://schemas.openxmlformats.org/officeDocument/2006/relationships/hyperlink" Target="https://dalil.kg/document/112298" TargetMode="External"/><Relationship Id="rId8" Type="http://schemas.openxmlformats.org/officeDocument/2006/relationships/image" Target="media/8de64316e95979c063c17bcd5380dc052a2594e9.png"/><Relationship Id="rId1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r0brc4sclpyyyeasds" Type="http://schemas.openxmlformats.org/officeDocument/2006/relationships/hyperlink" Target="https://dalil.kg/document/230033231" TargetMode="External"/><Relationship Id="rIdvwmgfvc6m8mzj1nnlz8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2026-09-25T06:15:26.781Z</dcterms:created>
  <dcterms:modified xsi:type="dcterms:W3CDTF">2026-09-25T06:15:26.781Z</dcterms:modified>
</cp:coreProperties>
</file>

<file path=docProps/custom.xml><?xml version="1.0" encoding="utf-8"?>
<Properties xmlns="http://schemas.openxmlformats.org/officeDocument/2006/custom-properties" xmlns:vt="http://schemas.openxmlformats.org/officeDocument/2006/docPropsVTypes"/>
</file>