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октября 2025 года № 705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переводе (трансформации) земельного участка, расположенного на территории айылного аймака Манас Кара-Сууйского района Ошской области Кыргызской Республики, из категории «Земли сельскохозяйственного назначения» в категорию «Земли промышленности, транспорта, связи, энергетики, обороны и иного назначения»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строительства пограничной заставы «Ак-Буура» на территории айылного аймака Манас Кара-Сууйского района Ошской области Кыргызской Республики, в соответствии со статьями </w:t>
      </w:r>
      <w:hyperlink w:history="1" r:id="rIdd16ipkf27g1qvkk84s_j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fm7_x2osbsflu8ypauz1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102</w:t>
        </w:r>
      </w:hyperlink>
      <w:r>
        <w:rPr>
          <w:rFonts w:ascii="Arial" w:cs="Arial" w:eastAsia="Arial" w:hAnsi="Arial"/>
          <w:sz w:val="24"/>
          <w:szCs w:val="24"/>
        </w:rPr>
        <w:t xml:space="preserve"> Земельного кодекса Кыргызской Республики, статьями </w:t>
      </w:r>
      <w:hyperlink w:history="1" r:id="rIdpsqujwehxyvwj8gqy-vu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bhulxnu1dzvk4q-ucwzr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Республики», принимая во внимание заключение полномочного представителя Президента Кыргызской Республики в Ошской области Кыргызской Республики от 22 октября 2025 года № 01-39/4129, постановление государственной администрации Кара-Сууйского района Ошской области Кыргызской Республики от 22 октября 2025 года № 23-145, Кабинет Министров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Перевести (трансформировать) земельный участок площадью 1,92 га, занятый многолетними насаждениями, находящийся в государственной собственности, расположенный в контуре № 65 на территории айылного аймака Манас Кара-Сууйского района Ошской области Кыргызской Республики, из категории «Земли сельскохозяйственного назначения» в категорию «Земли промышленности, транспорта, связи, энергетики, обороны и иного назначения» для строительства пограничной заставы «Ак-Буура».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Государственной администрации Кара-Сууйского района Ошской области Кыргызской Республики обеспечить: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внесение соответствующих изменений в земельно-учетную документацию;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разработку и утверждение градостроительной документации на земельный участок, указанный в пункте 1 настоящего постановления, в соответствии с законодательством Кыргызской Республики в сфере градостроительства, архитектуры и энергетики, </w:t>
      </w:r>
      <w:hyperlink w:history="1" r:id="rIdpiqampiedylaw2ihoukw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автомобильных дорогах»;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использование земельного участка, указанного в пункте 1 настоящего постановления, по целевому назначению;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соблюдение требований санитарно-эпидемиологических правил и норм;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выполнение экологических требований при осуществлении хозяйственной и иной деятельности в соответствии с законодательством Кыргызской Республики в области охраны окружающей среды;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функционирование системы безопасного отвода дождевых и талых снеговых вод, антисейсмические мероприятия в генеральном плане и соблюдение руководства по мониторингу, прогнозированию опасных процессов и явлений на соответствующей территории;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сохранность объектов историко-культурного наследия в случае их выявления на земельном участке, указанном в пункте 1 настоящего постановления, в соответствии с законодательством Кыргызской Республики об охране и использовании историко-культурного наследия.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31 октября 2025 года № 83 (3739)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 Касымалиев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otdauztjuqs2tb_tgcw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dalil.kg/document/230033368</w:t>
      </w:r>
    </w:hyperlink>
  </w:p>
  <w:p>
    <w:pPr>
      <w:spacing w:after="0" w:before="40"/>
      <w:jc w:val="center"/>
    </w:pPr>
    <w:hyperlink w:history="1" r:id="rIdlrnbc86dvtkmatjcfx_8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16ipkf27g1qvkk84s_jy" Type="http://schemas.openxmlformats.org/officeDocument/2006/relationships/hyperlink" Target="https://dalil.kg/document/230029465#st_18" TargetMode="External"/><Relationship Id="rIdfm7_x2osbsflu8ypauz1d" Type="http://schemas.openxmlformats.org/officeDocument/2006/relationships/hyperlink" Target="https://dalil.kg/document/230029465#st_102" TargetMode="External"/><Relationship Id="rIdpsqujwehxyvwj8gqy-vu7" Type="http://schemas.openxmlformats.org/officeDocument/2006/relationships/hyperlink" Target="https://dalil.kg/document/112301#st_13" TargetMode="External"/><Relationship Id="rIdbhulxnu1dzvk4q-ucwzrb" Type="http://schemas.openxmlformats.org/officeDocument/2006/relationships/hyperlink" Target="https://dalil.kg/document/112301#st_17" TargetMode="External"/><Relationship Id="rIdpiqampiedylaw2ihoukw1" Type="http://schemas.openxmlformats.org/officeDocument/2006/relationships/hyperlink" Target="https://dalil.kg/document/112594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otdauztjuqs2tb_tgcwt" Type="http://schemas.openxmlformats.org/officeDocument/2006/relationships/hyperlink" Target="https://dalil.kg/document/230033368" TargetMode="External"/><Relationship Id="rIdlrnbc86dvtkmatjcfx_8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2026-09-27T05:13:40.412Z</dcterms:created>
  <dcterms:modified xsi:type="dcterms:W3CDTF">2026-09-27T05:13:40.412Z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