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 2025 года УП № 303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регулирования вопросов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уплаты государственной пошлины и иных платежей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иностранных сотрудников, связанных с регистрацией по месту пребывани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повышения транзитного потенциала и инвестиционной привлекательности страны,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Торугарт – Джалал-Абад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1 </w:t>
      </w:r>
      <w:hyperlink w:history="1" r:id="rId57izzz_mcdyfp9scyp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нормативных правовых актах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 руководствуясь </w:t>
      </w:r>
      <w:hyperlink w:history="1" r:id="rIdxyst3loqrxk3_nbrku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</w:t>
      </w:r>
      <w:r>
        <w:rPr>
          <w:rFonts w:ascii="Arial" w:cs="Arial" w:eastAsia="Arial" w:hAnsi="Arial"/>
          <w:sz w:val="24"/>
          <w:szCs w:val="24"/>
        </w:rPr>
        <w:t xml:space="preserve">в период с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ноября 2025 года по 31 октября 2026 года </w:t>
      </w:r>
      <w:r>
        <w:rPr>
          <w:rFonts w:ascii="Arial" w:cs="Arial" w:eastAsia="Arial" w:hAnsi="Arial"/>
          <w:sz w:val="24"/>
          <w:szCs w:val="24"/>
        </w:rPr>
        <w:t xml:space="preserve">временное регулирование вопросов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освобождению </w:t>
      </w:r>
      <w:r>
        <w:rPr>
          <w:rFonts w:ascii="Arial" w:cs="Arial" w:eastAsia="Arial" w:hAnsi="Arial"/>
          <w:sz w:val="24"/>
          <w:szCs w:val="24"/>
        </w:rPr>
        <w:t xml:space="preserve">иностранных сотрудников, задействованных в реализации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Узбекистан», от </w:t>
      </w:r>
      <w:r>
        <w:rPr>
          <w:rFonts w:ascii="Arial" w:cs="Arial" w:eastAsia="Arial" w:hAnsi="Arial"/>
          <w:sz w:val="24"/>
          <w:szCs w:val="24"/>
        </w:rPr>
        <w:t xml:space="preserve">уплаты государственной пошлины и иных </w:t>
      </w:r>
      <w:r>
        <w:rPr>
          <w:rFonts w:ascii="Arial" w:cs="Arial" w:eastAsia="Arial" w:hAnsi="Arial"/>
          <w:sz w:val="24"/>
          <w:szCs w:val="24"/>
        </w:rPr>
        <w:t xml:space="preserve">платежей, связанных с </w:t>
      </w:r>
      <w:r>
        <w:rPr>
          <w:rFonts w:ascii="Arial" w:cs="Arial" w:eastAsia="Arial" w:hAnsi="Arial"/>
          <w:sz w:val="24"/>
          <w:szCs w:val="24"/>
        </w:rPr>
        <w:t xml:space="preserve">регистрацией по месту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учреждению 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Государственному комитету национальной безопасности Кыргызской Республики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подлежит официальному опубликованию и вступает в силу с 6 ноября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tkwgysrkj_kgb2plk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dalil.kg/document/230034160</w:t>
      </w:r>
    </w:hyperlink>
  </w:p>
  <w:p>
    <w:pPr>
      <w:spacing w:after="0" w:before="40"/>
      <w:jc w:val="center"/>
    </w:pPr>
    <w:hyperlink w:history="1" r:id="rIdhey6kmlq17m51p8bly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izzz_mcdyfp9scyp3qt" Type="http://schemas.openxmlformats.org/officeDocument/2006/relationships/hyperlink" Target="https://dalil.kg/document/202591#st_311" TargetMode="External"/><Relationship Id="rIdxyst3loqrxk3_nbrkuagw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tkwgysrkj_kgb2plk1e" Type="http://schemas.openxmlformats.org/officeDocument/2006/relationships/hyperlink" Target="https://dalil.kg/document/230034160" TargetMode="External"/><Relationship Id="rIdhey6kmlq17m51p8blya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2026-09-27T04:58:52.023Z</dcterms:created>
  <dcterms:modified xsi:type="dcterms:W3CDTF">2026-09-27T04:58:52.023Z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