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МЕТОДИКА ФОРМИРОВАНИЯ ЛИМИТОВ ПОТРЕБЛЕНИЯ ЭЛЕКТРИЧЕСКОЙ,ТЕПЛОВОЙ ЭНЕРГИИ И ПРИРОДНОГО ГАЗА БЮДЖЕТНЫХ ОРГАНИЗАЦИЙ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 О Д Е Р Ж А Н И Е</w:t>
      </w:r>
    </w:p>
    <w:p>
      <w:pPr>
        <w:spacing w:after="240" w:before="2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Введение</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21</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23</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70</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72</w:t>
      </w:r>
    </w:p>
    <w:p>
      <w:pPr>
        <w:tabs>
          <w:tab w:val="right" w:pos="10178"/>
        </w:tabs>
        <w:spacing w:after="120"/>
      </w:pPr>
      <w:r>
        <w:rPr>
          <w:rFonts w:ascii="Arial" w:cs="Arial" w:eastAsia="Arial" w:hAnsi="Arial"/>
          <w:sz w:val="24"/>
          <w:szCs w:val="24"/>
        </w:rPr>
        <w:t xml:space="preserve">8.2.</w:t>
      </w:r>
      <w:r>
        <w:rPr>
          <w:rFonts w:ascii="Arial" w:cs="Arial" w:eastAsia="Arial" w:hAnsi="Arial"/>
          <w:sz w:val="24"/>
          <w:szCs w:val="24"/>
        </w:rPr>
        <w:t xml:space="preserve">	</w:t>
      </w:r>
      <w:r>
        <w:rPr>
          <w:rFonts w:ascii="Arial" w:cs="Arial" w:eastAsia="Arial" w:hAnsi="Arial"/>
          <w:sz w:val="24"/>
          <w:szCs w:val="24"/>
        </w:rPr>
        <w:t xml:space="preserve">74</w:t>
      </w:r>
    </w:p>
    <w:p>
      <w:pPr>
        <w:tabs>
          <w:tab w:val="right" w:pos="10178"/>
        </w:tabs>
        <w:spacing w:after="120"/>
      </w:pPr>
      <w:r>
        <w:rPr>
          <w:rFonts w:ascii="Arial" w:cs="Arial" w:eastAsia="Arial" w:hAnsi="Arial"/>
          <w:sz w:val="24"/>
          <w:szCs w:val="24"/>
        </w:rPr>
        <w:t xml:space="preserve">8.3.</w:t>
      </w:r>
      <w:r>
        <w:rPr>
          <w:rFonts w:ascii="Arial" w:cs="Arial" w:eastAsia="Arial" w:hAnsi="Arial"/>
          <w:sz w:val="24"/>
          <w:szCs w:val="24"/>
        </w:rPr>
        <w:t xml:space="preserve">	</w:t>
      </w:r>
      <w:r>
        <w:rPr>
          <w:rFonts w:ascii="Arial" w:cs="Arial" w:eastAsia="Arial" w:hAnsi="Arial"/>
          <w:sz w:val="24"/>
          <w:szCs w:val="24"/>
        </w:rPr>
        <w:t xml:space="preserve">77</w:t>
      </w:r>
    </w:p>
    <w:p>
      <w:pPr>
        <w:tabs>
          <w:tab w:val="right" w:pos="10178"/>
        </w:tabs>
        <w:spacing w:after="120"/>
      </w:pPr>
      <w:r>
        <w:rPr>
          <w:rFonts w:ascii="Arial" w:cs="Arial" w:eastAsia="Arial" w:hAnsi="Arial"/>
          <w:sz w:val="24"/>
          <w:szCs w:val="24"/>
        </w:rPr>
        <w:t xml:space="preserve">8.4.</w:t>
      </w:r>
      <w:r>
        <w:rPr>
          <w:rFonts w:ascii="Arial" w:cs="Arial" w:eastAsia="Arial" w:hAnsi="Arial"/>
          <w:sz w:val="24"/>
          <w:szCs w:val="24"/>
        </w:rPr>
        <w:t xml:space="preserve">	</w:t>
      </w:r>
      <w:r>
        <w:rPr>
          <w:rFonts w:ascii="Arial" w:cs="Arial" w:eastAsia="Arial" w:hAnsi="Arial"/>
          <w:sz w:val="24"/>
          <w:szCs w:val="24"/>
        </w:rPr>
        <w:t xml:space="preserve">79</w:t>
      </w:r>
    </w:p>
    <w:p>
      <w:pPr>
        <w:tabs>
          <w:tab w:val="right" w:pos="10178"/>
        </w:tabs>
        <w:spacing w:after="120"/>
      </w:pPr>
      <w:r>
        <w:rPr>
          <w:rFonts w:ascii="Arial" w:cs="Arial" w:eastAsia="Arial" w:hAnsi="Arial"/>
          <w:sz w:val="24"/>
          <w:szCs w:val="24"/>
        </w:rPr>
        <w:t xml:space="preserve">8.5.</w:t>
      </w:r>
      <w:r>
        <w:rPr>
          <w:rFonts w:ascii="Arial" w:cs="Arial" w:eastAsia="Arial" w:hAnsi="Arial"/>
          <w:sz w:val="24"/>
          <w:szCs w:val="24"/>
        </w:rPr>
        <w:t xml:space="preserve">	</w:t>
      </w:r>
      <w:r>
        <w:rPr>
          <w:rFonts w:ascii="Arial" w:cs="Arial" w:eastAsia="Arial" w:hAnsi="Arial"/>
          <w:sz w:val="24"/>
          <w:szCs w:val="24"/>
        </w:rPr>
        <w:t xml:space="preserve">81</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82</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82</w:t>
      </w:r>
    </w:p>
    <w:p>
      <w:pPr>
        <w:tabs>
          <w:tab w:val="right" w:pos="10178"/>
        </w:tabs>
        <w:spacing w:after="120"/>
      </w:pP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85</w:t>
      </w:r>
    </w:p>
    <w:p>
      <w:pPr>
        <w:tabs>
          <w:tab w:val="right" w:pos="10178"/>
        </w:tabs>
        <w:spacing w:after="120"/>
      </w:pPr>
      <w:r>
        <w:rPr>
          <w:rFonts w:ascii="Arial" w:cs="Arial" w:eastAsia="Arial" w:hAnsi="Arial"/>
          <w:sz w:val="24"/>
          <w:szCs w:val="24"/>
        </w:rPr>
        <w:t xml:space="preserve">9.3.</w:t>
      </w:r>
      <w:r>
        <w:rPr>
          <w:rFonts w:ascii="Arial" w:cs="Arial" w:eastAsia="Arial" w:hAnsi="Arial"/>
          <w:sz w:val="24"/>
          <w:szCs w:val="24"/>
        </w:rPr>
        <w:t xml:space="preserve">	</w:t>
      </w:r>
      <w:r>
        <w:rPr>
          <w:rFonts w:ascii="Arial" w:cs="Arial" w:eastAsia="Arial" w:hAnsi="Arial"/>
          <w:sz w:val="24"/>
          <w:szCs w:val="24"/>
        </w:rPr>
        <w:t xml:space="preserve">88</w:t>
      </w:r>
    </w:p>
    <w:p>
      <w:pPr>
        <w:tabs>
          <w:tab w:val="right" w:pos="10178"/>
        </w:tabs>
        <w:spacing w:after="120"/>
      </w:pPr>
      <w:r>
        <w:rPr>
          <w:rFonts w:ascii="Arial" w:cs="Arial" w:eastAsia="Arial" w:hAnsi="Arial"/>
          <w:sz w:val="24"/>
          <w:szCs w:val="24"/>
        </w:rPr>
        <w:t xml:space="preserve">9.4.</w:t>
      </w:r>
      <w:r>
        <w:rPr>
          <w:rFonts w:ascii="Arial" w:cs="Arial" w:eastAsia="Arial" w:hAnsi="Arial"/>
          <w:sz w:val="24"/>
          <w:szCs w:val="24"/>
        </w:rPr>
        <w:t xml:space="preserve">	</w:t>
      </w:r>
      <w:r>
        <w:rPr>
          <w:rFonts w:ascii="Arial" w:cs="Arial" w:eastAsia="Arial" w:hAnsi="Arial"/>
          <w:sz w:val="24"/>
          <w:szCs w:val="24"/>
        </w:rPr>
        <w:t xml:space="preserve">89</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94</w:t>
      </w:r>
    </w:p>
    <w:p>
      <w:pPr>
        <w:tabs>
          <w:tab w:val="right" w:pos="10178"/>
        </w:tabs>
        <w:spacing w:after="120"/>
      </w:pPr>
      <w:r>
        <w:rPr>
          <w:rFonts w:ascii="Arial" w:cs="Arial" w:eastAsia="Arial" w:hAnsi="Arial"/>
          <w:sz w:val="24"/>
          <w:szCs w:val="24"/>
        </w:rPr>
        <w:t xml:space="preserve">Приложения………………………………………………………….</w:t>
      </w:r>
      <w:r>
        <w:rPr>
          <w:rFonts w:ascii="Arial" w:cs="Arial" w:eastAsia="Arial" w:hAnsi="Arial"/>
          <w:sz w:val="24"/>
          <w:szCs w:val="24"/>
        </w:rPr>
        <w:t xml:space="preserve">	</w:t>
      </w:r>
      <w:r>
        <w:rPr>
          <w:rFonts w:ascii="Arial" w:cs="Arial" w:eastAsia="Arial" w:hAnsi="Arial"/>
          <w:sz w:val="24"/>
          <w:szCs w:val="24"/>
        </w:rPr>
        <w:t xml:space="preserve">97</w:t>
      </w:r>
    </w:p>
    <w:p>
      <w:pPr>
        <w:spacing w:after="60"/>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ВВЕДЕНИЕ</w:t>
      </w:r>
    </w:p>
    <w:p>
      <w:pPr>
        <w:spacing w:after="240" w:before="20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Методика формирования лимитов потребления электрической, тепловой энергии и природного газа (энергоносители) (далее - Методика) предназначена для утверждения лимитов электрической, тепловой энергии и природного газа бюджетным организациям, финансируемым из республиканского и местного бюджетов (бюджетные организации), используемых на собственное потребление на основе достоверной величины потребления энергоносителей, полученных в ходе энергетического обследования. </w:t>
      </w:r>
    </w:p>
    <w:p>
      <w:pPr>
        <w:spacing w:after="120"/>
        <w:ind w:firstLine="720"/>
        <w:jc w:val="both"/>
      </w:pPr>
      <w:r>
        <w:rPr>
          <w:rFonts w:ascii="Arial" w:cs="Arial" w:eastAsia="Arial" w:hAnsi="Arial"/>
          <w:sz w:val="24"/>
          <w:szCs w:val="24"/>
        </w:rPr>
        <w:t xml:space="preserve">В лимиты электрической, тепловой энергии и природного газа включаются:</w:t>
      </w:r>
    </w:p>
    <w:p>
      <w:pPr>
        <w:spacing w:after="120"/>
        <w:ind w:firstLine="720"/>
        <w:jc w:val="both"/>
      </w:pPr>
      <w:r>
        <w:rPr>
          <w:rFonts w:ascii="Arial" w:cs="Arial" w:eastAsia="Arial" w:hAnsi="Arial"/>
          <w:sz w:val="24"/>
          <w:szCs w:val="24"/>
        </w:rPr>
        <w:t xml:space="preserve">- расходы электрической, тепловой энергии и природного газа, используемые для собственного потребления бюджетных организаций и полученных на основании данных коммерческих средств учета энергии (приборы учета), а при их отсутствии, рассчитанные на основании настоящей Методики;</w:t>
      </w:r>
    </w:p>
    <w:p>
      <w:pPr>
        <w:spacing w:after="120"/>
        <w:ind w:firstLine="720"/>
        <w:jc w:val="both"/>
      </w:pPr>
      <w:r>
        <w:rPr>
          <w:rFonts w:ascii="Arial" w:cs="Arial" w:eastAsia="Arial" w:hAnsi="Arial"/>
          <w:sz w:val="24"/>
          <w:szCs w:val="24"/>
        </w:rPr>
        <w:t xml:space="preserve">- технические потери электрической, тепловой энергии и природного газа в электрических, тепловых и газовых сетях и их оборудовании (воздушные и кабельные линии, трансформаторы, тепловые сети и др.), находящихся на балансе бюджетной организации согласно техническим условиям на подключение к сетям и оборудованию поставщиков энергоносителей (Акт балансовой принадлежности). Технические потери должны обосновываться соответствующими расчетами.</w:t>
      </w:r>
    </w:p>
    <w:p>
      <w:pPr>
        <w:spacing w:after="120"/>
        <w:ind w:firstLine="720"/>
        <w:jc w:val="both"/>
      </w:pPr>
      <w:r>
        <w:rPr>
          <w:rFonts w:ascii="Arial" w:cs="Arial" w:eastAsia="Arial" w:hAnsi="Arial"/>
          <w:sz w:val="24"/>
          <w:szCs w:val="24"/>
        </w:rPr>
        <w:t xml:space="preserve">В лимиты электрической, тепловой энергии и природного газа не включаются расходы энергоносителей:</w:t>
      </w:r>
    </w:p>
    <w:p>
      <w:pPr>
        <w:spacing w:after="120"/>
        <w:ind w:firstLine="720"/>
        <w:jc w:val="both"/>
      </w:pPr>
      <w:r>
        <w:rPr>
          <w:rFonts w:ascii="Arial" w:cs="Arial" w:eastAsia="Arial" w:hAnsi="Arial"/>
          <w:sz w:val="24"/>
          <w:szCs w:val="24"/>
        </w:rPr>
        <w:t xml:space="preserve">- отпускаемые небюджетным потребителям, размещенных в арендуемых помещениях бюджетных учреждений </w:t>
      </w:r>
      <w:r>
        <w:rPr>
          <w:rFonts w:ascii="Arial" w:cs="Arial" w:eastAsia="Arial" w:hAnsi="Arial"/>
          <w:b/>
          <w:bCs/>
          <w:sz w:val="24"/>
          <w:szCs w:val="24"/>
        </w:rPr>
        <w:t xml:space="preserve">на основе сервитута (субабоненты-арендаторы), </w:t>
      </w:r>
      <w:r>
        <w:rPr>
          <w:rFonts w:ascii="Arial" w:cs="Arial" w:eastAsia="Arial" w:hAnsi="Arial"/>
          <w:sz w:val="24"/>
          <w:szCs w:val="24"/>
        </w:rPr>
        <w:t xml:space="preserve">населению (жилые ведомственные дома, общежития для семейных, дома офицерского состава, дачи и др.), поселкам и другим организациям, присоединенных к энергетическому оборудованию и сетям бюджетных организаций и получающих энергоносители через общий коммерческий учет энергии;</w:t>
      </w:r>
    </w:p>
    <w:p>
      <w:pPr>
        <w:spacing w:after="120"/>
        <w:ind w:firstLine="720"/>
        <w:jc w:val="both"/>
      </w:pPr>
      <w:r>
        <w:rPr>
          <w:rFonts w:ascii="Arial" w:cs="Arial" w:eastAsia="Arial" w:hAnsi="Arial"/>
          <w:sz w:val="24"/>
          <w:szCs w:val="24"/>
        </w:rPr>
        <w:t xml:space="preserve">- структурных и подведомственных учреждений, входящих в структуру бюджетных организаций (детские садики, ясли, гостиницы, пансионаты, скважины, водохозяйственные сооружения и другие), осуществляющих свою производственную деятельность на условиях самофинансирования, хозяйственного расчета и за счет платных услуг;</w:t>
      </w:r>
    </w:p>
    <w:p>
      <w:pPr>
        <w:spacing w:after="120"/>
        <w:ind w:firstLine="720"/>
        <w:jc w:val="both"/>
      </w:pPr>
      <w:r>
        <w:rPr>
          <w:rFonts w:ascii="Arial" w:cs="Arial" w:eastAsia="Arial" w:hAnsi="Arial"/>
          <w:sz w:val="24"/>
          <w:szCs w:val="24"/>
        </w:rPr>
        <w:t xml:space="preserve">- расходуемые бюджетными организациями при текущем, капитальном ремонтах и строительстве новых зданий и инженерных сооружений, монтаже технологического и бытового оборудования бюджетных организаций и их структурных подразделений.</w:t>
      </w:r>
    </w:p>
    <w:p>
      <w:pPr>
        <w:spacing w:after="120"/>
        <w:ind w:firstLine="720"/>
        <w:jc w:val="both"/>
      </w:pPr>
      <w:r>
        <w:rPr>
          <w:rFonts w:ascii="Arial" w:cs="Arial" w:eastAsia="Arial" w:hAnsi="Arial"/>
          <w:sz w:val="24"/>
          <w:szCs w:val="24"/>
        </w:rPr>
        <w:t xml:space="preserve">Достоверные величины потребления электрической, тепловой энергии и природного газа для бюджетных организаций определяются по результатам энергетического обследования согласно фактических данных приборного учета энергоносителей. В случае отсутствия приборов учета, расходы энергоносителей рассчитываются на основании разделов настоящей Методики. В целом же перед бюджетными организациями должна стоять задача приборного учета потребляемых энергоносителей.</w:t>
      </w:r>
    </w:p>
    <w:p>
      <w:pPr>
        <w:spacing w:after="120"/>
        <w:ind w:firstLine="720"/>
        <w:jc w:val="both"/>
      </w:pPr>
      <w:r>
        <w:rPr>
          <w:rFonts w:ascii="Arial" w:cs="Arial" w:eastAsia="Arial" w:hAnsi="Arial"/>
          <w:sz w:val="24"/>
          <w:szCs w:val="24"/>
        </w:rPr>
        <w:t xml:space="preserve">Учет электроэнергии потребителей, не попадающих под лимитирование, должен осуществляться отдельными средствами учета электроэнергии и при возможности являться абонентами энергоснабжающей организации.</w:t>
      </w:r>
    </w:p>
    <w:p>
      <w:pPr>
        <w:spacing w:after="120"/>
        <w:ind w:firstLine="720"/>
        <w:jc w:val="both"/>
      </w:pPr>
      <w:r>
        <w:rPr>
          <w:rFonts w:ascii="Arial" w:cs="Arial" w:eastAsia="Arial" w:hAnsi="Arial"/>
          <w:sz w:val="24"/>
          <w:szCs w:val="24"/>
        </w:rPr>
        <w:t xml:space="preserve">При изменении производственных характеристик, введении нового строительства, реконструкции, перепрофилирования и некоторых структурных преобразованиях бюджетной организации вносятся коррективы и утверждаются лимиты энергоносителей с учетом изменений и преобразований.</w:t>
      </w:r>
    </w:p>
    <w:p>
      <w:pPr>
        <w:spacing w:after="120"/>
        <w:ind w:firstLine="720"/>
        <w:jc w:val="both"/>
      </w:pPr>
      <w:r>
        <w:rPr>
          <w:rFonts w:ascii="Arial" w:cs="Arial" w:eastAsia="Arial" w:hAnsi="Arial"/>
          <w:sz w:val="24"/>
          <w:szCs w:val="24"/>
        </w:rPr>
        <w:t xml:space="preserve">Методика формирования лимитов потребления энергоносителей (электрическая, тепловая энергия и природный газ) имеет важное значение для осуществления режима экономии энергоносителей и бюджетных средств, выделяемых из республиканского и местного бюджетов.</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«Методика формирования лимитов потребления электрической, тепловой энергии, природного газа для бюджетных организаций, финансируемых их республиканского и местного бюджетов Кыргызской Республики» (Методика) устанавливает единый порядок проведения энергетического обследования при формировании и определении достоверных величин лимитов (норм) потребления электрической, тепловой энергии, природного газа и топлива. Методика внедряет рациональное и экономное использование энергоносителей и бюджетных средств, выделяемых из республиканского и местного бюджетов для бюджетных организаций через научное обоснование лимитов потребления электрической, тепловой энергии, природного газа и топлива для выполнения их управленческих, социально-культурных, научно-технических или иных функций некоммерческого характера (собственное потребление).</w:t>
      </w:r>
    </w:p>
    <w:p>
      <w:pPr>
        <w:spacing w:after="120"/>
        <w:ind w:firstLine="709"/>
        <w:jc w:val="both"/>
      </w:pPr>
      <w:r>
        <w:rPr>
          <w:rFonts w:ascii="Arial" w:cs="Arial" w:eastAsia="Arial" w:hAnsi="Arial"/>
          <w:sz w:val="24"/>
          <w:szCs w:val="24"/>
        </w:rPr>
        <w:t xml:space="preserve">1.2. Методика разработана в целях упорядочения ответственности и взаимоотношений между бюджетными и энерго-, тепло- и газоснабжающими организациями, а также с субабонентами – арендаторами, размещенными в зданиях и помещениях бюджетных организаций, которые получают тепловую и электрическую энергию и природный газ через сети и оборудование бюджетных организаций.</w:t>
      </w:r>
    </w:p>
    <w:p>
      <w:pPr>
        <w:spacing w:after="120"/>
        <w:ind w:firstLine="720"/>
        <w:jc w:val="both"/>
      </w:pPr>
      <w:r>
        <w:rPr>
          <w:rFonts w:ascii="Arial" w:cs="Arial" w:eastAsia="Arial" w:hAnsi="Arial"/>
          <w:sz w:val="24"/>
          <w:szCs w:val="24"/>
        </w:rPr>
        <w:t xml:space="preserve">1.3. Методика устанавливает обязательные требования при расчете достоверных величин потребления энергоносителей, определяет компетенции и функции государственных уполномоченных органов, научного государственного учреждения, а также механизмы мониторинга и контроля исполнения утвержденных лимитов энергоносителей бюджетными организациями.</w:t>
      </w:r>
    </w:p>
    <w:p>
      <w:pPr>
        <w:spacing w:after="120"/>
        <w:ind w:firstLine="720"/>
        <w:jc w:val="both"/>
      </w:pPr>
      <w:r>
        <w:rPr>
          <w:rFonts w:ascii="Arial" w:cs="Arial" w:eastAsia="Arial" w:hAnsi="Arial"/>
          <w:sz w:val="24"/>
          <w:szCs w:val="24"/>
        </w:rPr>
        <w:t xml:space="preserve">1.4. Настоящая Методика устанавливает Порядок проведения энергетического обследования бюджетных организаций, регламентирующий последовательность подготовки, проведения энергоаудита, анализа и расчетов достоверных величин лимитов потребления энергоносителей, заполнения типовых форм Анкеты по энергоаудиту и оформление результатов обследований.</w:t>
      </w:r>
    </w:p>
    <w:p>
      <w:pPr>
        <w:spacing w:after="120"/>
        <w:ind w:firstLine="720"/>
        <w:jc w:val="both"/>
      </w:pPr>
      <w:r>
        <w:rPr>
          <w:rFonts w:ascii="Arial" w:cs="Arial" w:eastAsia="Arial" w:hAnsi="Arial"/>
          <w:sz w:val="24"/>
          <w:szCs w:val="24"/>
        </w:rPr>
        <w:t xml:space="preserve">1.5. Настоящая Методика составлена на основании государственных и отраслевых методов расчетов потребности в электрической, тепловой энергии и природного газа, строительных норм, правил пользования учета энергоносителей, методических указаний и инструкций по определению расходов топлива на выработку тепловой энергии и на иные цели отопительными котельными и другими тепловырабатывающими агрегатами (печки-буржуйки, контромарки и др).</w:t>
      </w:r>
    </w:p>
    <w:p>
      <w:pPr>
        <w:spacing w:after="120"/>
        <w:ind w:firstLine="720"/>
        <w:jc w:val="both"/>
      </w:pPr>
      <w:r>
        <w:rPr>
          <w:rFonts w:ascii="Arial" w:cs="Arial" w:eastAsia="Arial" w:hAnsi="Arial"/>
          <w:sz w:val="24"/>
          <w:szCs w:val="24"/>
        </w:rPr>
        <w:t xml:space="preserve">1.6. Методика действует на территории Кыргызской Республики и является обязательным руководящим документом для бюджетных организаций, государственных уполномоченных органов, органов местного самоуправления, энерго-, тепло-, газо- и топливоснабжающих организаций и других физических и юридических лиц независимо от организационно-правовой формы собственности.</w:t>
      </w:r>
    </w:p>
    <w:p>
      <w:pPr>
        <w:spacing w:after="120"/>
        <w:ind w:firstLine="720"/>
        <w:jc w:val="both"/>
      </w:pPr>
      <w:r>
        <w:rPr>
          <w:rFonts w:ascii="Arial" w:cs="Arial" w:eastAsia="Arial" w:hAnsi="Arial"/>
          <w:sz w:val="24"/>
          <w:szCs w:val="24"/>
        </w:rPr>
        <w:t xml:space="preserve">1.7. Методика формирования лимитов потребления электрической, тепловой энергии, природного газа для бюджетных организаций, финансируемых их республиканского и местного бюджетов Кыргызской Республики разработана в целях реализации пункта 11 постановления Кабинета Министров Кыргызской Республики от 28 мая 2025 года № 282 «О подготовке отраслей экономики и населения Кыргызской Республики к осенне-зимнему периоду 2025/2026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ОСНОВНЫЕ ТЕРМИНЫ И ОПРЕДЕЛЕНИЯ</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настоящей Методике используются термины и определения в соответствии с нормативными правовыми актами и правилами, действующими в Кыргызской Республике:</w:t>
      </w:r>
    </w:p>
    <w:p>
      <w:pPr>
        <w:spacing w:after="120"/>
        <w:ind w:firstLine="720"/>
        <w:jc w:val="both"/>
      </w:pPr>
      <w:r>
        <w:rPr>
          <w:rFonts w:ascii="Arial" w:cs="Arial" w:eastAsia="Arial" w:hAnsi="Arial"/>
          <w:b/>
          <w:bCs/>
          <w:sz w:val="24"/>
          <w:szCs w:val="24"/>
        </w:rPr>
        <w:t xml:space="preserve">Уполномоченный государственный орган по утверждению лимитов энергоносителей</w:t>
      </w:r>
      <w:r>
        <w:rPr>
          <w:rFonts w:ascii="Arial" w:cs="Arial" w:eastAsia="Arial" w:hAnsi="Arial"/>
          <w:sz w:val="24"/>
          <w:szCs w:val="24"/>
        </w:rPr>
        <w:t xml:space="preserve"> – центральный орган исполнительной власти, уполномоченный Кабинетом Министров Кыргызской Республики по утверждению предельной нормы расхода энергоносителей бюджетным учреждениям для выполнения управленческих, социально-культурных, научно-технических или иных функций некоммерческого характера, деятельность которого финансируется за счет средств соответствующего бюджета (Министерство энергетики Кыргызской Республики и Министерство финансов Кыргызской Республики);</w:t>
      </w:r>
    </w:p>
    <w:p>
      <w:pPr>
        <w:spacing w:after="120"/>
        <w:ind w:firstLine="720"/>
        <w:jc w:val="both"/>
      </w:pPr>
      <w:r>
        <w:rPr>
          <w:rFonts w:ascii="Arial" w:cs="Arial" w:eastAsia="Arial" w:hAnsi="Arial"/>
          <w:b/>
          <w:bCs/>
          <w:sz w:val="24"/>
          <w:szCs w:val="24"/>
        </w:rPr>
        <w:t xml:space="preserve">Государственное научное учреждение – </w:t>
      </w:r>
      <w:r>
        <w:rPr>
          <w:rFonts w:ascii="Arial" w:cs="Arial" w:eastAsia="Arial" w:hAnsi="Arial"/>
          <w:sz w:val="24"/>
          <w:szCs w:val="24"/>
        </w:rPr>
        <w:t xml:space="preserve">государственное учреждение, осуществляющее научно-исследовательские работы по энергетическому обследованию бюджетных организаций и других предприятий отраслей экономики, независимо от форм собственности по определению достоверных величин лимитов потребления энергоносителей и реализующих механизмы политики энергосбережения и энергоэффективности в пределах своих компетенций (Научно-исследовательский институт энергетики при Министерстве энергетики Кыргызской Республики);</w:t>
      </w:r>
    </w:p>
    <w:p>
      <w:pPr>
        <w:spacing w:after="120"/>
        <w:ind w:firstLine="720"/>
        <w:jc w:val="both"/>
      </w:pPr>
      <w:r>
        <w:rPr>
          <w:rFonts w:ascii="Arial" w:cs="Arial" w:eastAsia="Arial" w:hAnsi="Arial"/>
          <w:sz w:val="24"/>
          <w:szCs w:val="24"/>
        </w:rPr>
        <w:t xml:space="preserve">Э</w:t>
      </w:r>
      <w:r>
        <w:rPr>
          <w:rFonts w:ascii="Arial" w:cs="Arial" w:eastAsia="Arial" w:hAnsi="Arial"/>
          <w:b/>
          <w:bCs/>
          <w:sz w:val="24"/>
          <w:szCs w:val="24"/>
        </w:rPr>
        <w:t xml:space="preserve">нергетические ресурсы –</w:t>
      </w:r>
      <w:r>
        <w:rPr>
          <w:rFonts w:ascii="Arial" w:cs="Arial" w:eastAsia="Arial" w:hAnsi="Arial"/>
          <w:sz w:val="24"/>
          <w:szCs w:val="24"/>
        </w:rPr>
        <w:t xml:space="preserve"> это все источники разнообразных видов энергии, доступные для промышленного и бытового использования в энергетике;</w:t>
      </w:r>
    </w:p>
    <w:p>
      <w:pPr>
        <w:spacing w:after="120"/>
        <w:ind w:firstLine="720"/>
        <w:jc w:val="both"/>
      </w:pPr>
      <w:r>
        <w:rPr>
          <w:rFonts w:ascii="Arial" w:cs="Arial" w:eastAsia="Arial" w:hAnsi="Arial"/>
          <w:b/>
          <w:bCs/>
          <w:sz w:val="24"/>
          <w:szCs w:val="24"/>
        </w:rPr>
        <w:t xml:space="preserve">Энергоносители</w:t>
      </w:r>
      <w:r>
        <w:rPr>
          <w:rFonts w:ascii="Arial" w:cs="Arial" w:eastAsia="Arial" w:hAnsi="Arial"/>
          <w:sz w:val="24"/>
          <w:szCs w:val="24"/>
        </w:rPr>
        <w:t xml:space="preserve"> – это энергоресурсы, представленные в форме, позволяющей их непосредственное применение в технических системах энергосистем и потребителей для преобразования или использования содержащейся в них энергии;</w:t>
      </w:r>
    </w:p>
    <w:p>
      <w:pPr>
        <w:spacing w:after="120"/>
        <w:ind w:firstLine="720"/>
        <w:jc w:val="both"/>
      </w:pPr>
      <w:r>
        <w:rPr>
          <w:rFonts w:ascii="Arial" w:cs="Arial" w:eastAsia="Arial" w:hAnsi="Arial"/>
          <w:b/>
          <w:bCs/>
          <w:sz w:val="24"/>
          <w:szCs w:val="24"/>
        </w:rPr>
        <w:t xml:space="preserve">Виды энергоносителей</w:t>
      </w:r>
      <w:r>
        <w:rPr>
          <w:rFonts w:ascii="Arial" w:cs="Arial" w:eastAsia="Arial" w:hAnsi="Arial"/>
          <w:sz w:val="24"/>
          <w:szCs w:val="24"/>
        </w:rPr>
        <w:t xml:space="preserve"> – электрическая энергия, тепловая энергия и природный газ и топливо (уголь, дизтопливо и другие);</w:t>
      </w:r>
    </w:p>
    <w:p>
      <w:pPr>
        <w:spacing w:after="120"/>
        <w:ind w:firstLine="720"/>
        <w:jc w:val="both"/>
      </w:pPr>
      <w:r>
        <w:rPr>
          <w:rFonts w:ascii="Arial" w:cs="Arial" w:eastAsia="Arial" w:hAnsi="Arial"/>
          <w:b/>
          <w:bCs/>
          <w:sz w:val="24"/>
          <w:szCs w:val="24"/>
        </w:rPr>
        <w:t xml:space="preserve">Топливно-энергетические ресурсы (ТЭР)</w:t>
      </w:r>
      <w:r>
        <w:rPr>
          <w:rFonts w:ascii="Arial" w:cs="Arial" w:eastAsia="Arial" w:hAnsi="Arial"/>
          <w:sz w:val="24"/>
          <w:szCs w:val="24"/>
        </w:rPr>
        <w:t xml:space="preserve"> - носители электрической, тепловой энергии и природного газа, которые используются в бюджетных организациях, финансируемых из республиканского и местного бюджетов;</w:t>
      </w:r>
    </w:p>
    <w:p>
      <w:pPr>
        <w:spacing w:after="120"/>
        <w:ind w:firstLine="720"/>
        <w:jc w:val="both"/>
      </w:pPr>
      <w:r>
        <w:rPr>
          <w:rFonts w:ascii="Arial" w:cs="Arial" w:eastAsia="Arial" w:hAnsi="Arial"/>
          <w:b/>
          <w:bCs/>
          <w:sz w:val="24"/>
          <w:szCs w:val="24"/>
        </w:rPr>
        <w:t xml:space="preserve">Потребител</w:t>
      </w:r>
      <w:r>
        <w:rPr>
          <w:rFonts w:ascii="Arial" w:cs="Arial" w:eastAsia="Arial" w:hAnsi="Arial"/>
          <w:b/>
          <w:bCs/>
          <w:sz w:val="24"/>
          <w:szCs w:val="24"/>
        </w:rPr>
        <w:t xml:space="preserve">ь ТЭР</w:t>
      </w:r>
      <w:r>
        <w:rPr>
          <w:rFonts w:ascii="Arial" w:cs="Arial" w:eastAsia="Arial" w:hAnsi="Arial"/>
          <w:i/>
          <w:iCs/>
          <w:sz w:val="24"/>
          <w:szCs w:val="24"/>
        </w:rPr>
        <w:t xml:space="preserve"> -</w:t>
      </w:r>
      <w:r>
        <w:rPr>
          <w:rFonts w:ascii="Arial" w:cs="Arial" w:eastAsia="Arial" w:hAnsi="Arial"/>
          <w:sz w:val="24"/>
          <w:szCs w:val="24"/>
        </w:rPr>
        <w:t xml:space="preserve"> юридическое лицо (организация)</w:t>
      </w:r>
      <w:r>
        <w:rPr>
          <w:rFonts w:ascii="Arial" w:cs="Arial" w:eastAsia="Arial" w:hAnsi="Arial"/>
          <w:sz w:val="24"/>
          <w:szCs w:val="24"/>
        </w:rPr>
        <w:t xml:space="preserve">, независимо от форм собственности, использующее топливно-энергетические ресурсы для производства продукции и услуг, а т</w:t>
      </w:r>
      <w:r>
        <w:rPr>
          <w:rFonts w:ascii="Arial" w:cs="Arial" w:eastAsia="Arial" w:hAnsi="Arial"/>
          <w:sz w:val="24"/>
          <w:szCs w:val="24"/>
        </w:rPr>
        <w:t xml:space="preserve">акже на собственные нужды;</w:t>
      </w:r>
    </w:p>
    <w:p>
      <w:pPr>
        <w:spacing w:after="120"/>
        <w:ind w:firstLine="720"/>
        <w:jc w:val="both"/>
      </w:pPr>
      <w:r>
        <w:rPr>
          <w:rFonts w:ascii="Arial" w:cs="Arial" w:eastAsia="Arial" w:hAnsi="Arial"/>
          <w:b/>
          <w:bCs/>
          <w:sz w:val="24"/>
          <w:szCs w:val="24"/>
        </w:rPr>
        <w:t xml:space="preserve">Потребители энергоносителей – </w:t>
      </w:r>
      <w:r>
        <w:rPr>
          <w:rFonts w:ascii="Arial" w:cs="Arial" w:eastAsia="Arial" w:hAnsi="Arial"/>
          <w:sz w:val="24"/>
          <w:szCs w:val="24"/>
        </w:rPr>
        <w:t xml:space="preserve">бюджетные учреждения, финансируемые из республиканского и местного бюджетов, использующее топливно-энергетические ресурсы для выполнения своих функциональных обязанностей и услуг, а также физические и юридические лица, независимо от формы собственности, размещенные в зданиях и помещениях бюджетных организаций на основе сервитута в установленном законом порядке;</w:t>
      </w:r>
    </w:p>
    <w:p>
      <w:pPr>
        <w:spacing w:after="120"/>
        <w:ind w:firstLine="720"/>
        <w:jc w:val="both"/>
      </w:pPr>
      <w:r>
        <w:rPr>
          <w:rFonts w:ascii="Arial" w:cs="Arial" w:eastAsia="Arial" w:hAnsi="Arial"/>
          <w:b/>
          <w:bCs/>
          <w:sz w:val="24"/>
          <w:szCs w:val="24"/>
        </w:rPr>
        <w:t xml:space="preserve">Энергоснабжающая организация (поставщик энергии)</w:t>
      </w:r>
      <w:r>
        <w:rPr>
          <w:rFonts w:ascii="Arial" w:cs="Arial" w:eastAsia="Arial" w:hAnsi="Arial"/>
          <w:sz w:val="24"/>
          <w:szCs w:val="24"/>
        </w:rPr>
        <w:t xml:space="preserve"> - юридическое лицо, предоставляющее товары и коммунальные услуги бюджетным организациям на основе договоров;</w:t>
      </w:r>
    </w:p>
    <w:p>
      <w:pPr>
        <w:spacing w:after="120"/>
        <w:ind w:firstLine="720"/>
        <w:jc w:val="both"/>
      </w:pPr>
      <w:r>
        <w:rPr>
          <w:rFonts w:ascii="Arial" w:cs="Arial" w:eastAsia="Arial" w:hAnsi="Arial"/>
          <w:b/>
          <w:bCs/>
          <w:sz w:val="24"/>
          <w:szCs w:val="24"/>
        </w:rPr>
        <w:t xml:space="preserve">Обслуживающая организация – </w:t>
      </w:r>
      <w:r>
        <w:rPr>
          <w:rFonts w:ascii="Arial" w:cs="Arial" w:eastAsia="Arial" w:hAnsi="Arial"/>
          <w:sz w:val="24"/>
          <w:szCs w:val="24"/>
        </w:rPr>
        <w:t xml:space="preserve">организация, осуществляющая техническое обслуживание и эксплуатацию инженерных систем здания;</w:t>
      </w:r>
    </w:p>
    <w:p>
      <w:pPr>
        <w:spacing w:after="120"/>
        <w:ind w:firstLine="720"/>
        <w:jc w:val="both"/>
      </w:pPr>
      <w:r>
        <w:rPr>
          <w:rFonts w:ascii="Arial" w:cs="Arial" w:eastAsia="Arial" w:hAnsi="Arial"/>
          <w:b/>
          <w:bCs/>
          <w:sz w:val="24"/>
          <w:szCs w:val="24"/>
        </w:rPr>
        <w:t xml:space="preserve">Контроль</w:t>
      </w:r>
      <w:r>
        <w:rPr>
          <w:rFonts w:ascii="Arial" w:cs="Arial" w:eastAsia="Arial" w:hAnsi="Arial"/>
          <w:sz w:val="24"/>
          <w:szCs w:val="24"/>
        </w:rPr>
        <w:t xml:space="preserve"> – процедура оценки соответствия путем наблюдения и суждений, сопровождаемых соответствующими измерениями одной или нескольких характеристик согласно установленной процедуре;</w:t>
      </w:r>
    </w:p>
    <w:p>
      <w:pPr>
        <w:spacing w:after="120"/>
        <w:ind w:firstLine="720"/>
        <w:jc w:val="both"/>
      </w:pPr>
      <w:r>
        <w:rPr>
          <w:rFonts w:ascii="Arial" w:cs="Arial" w:eastAsia="Arial" w:hAnsi="Arial"/>
          <w:b/>
          <w:bCs/>
          <w:sz w:val="24"/>
          <w:szCs w:val="24"/>
        </w:rPr>
        <w:t xml:space="preserve">Военный городок</w:t>
      </w:r>
      <w:r>
        <w:rPr>
          <w:rFonts w:ascii="Arial" w:cs="Arial" w:eastAsia="Arial" w:hAnsi="Arial"/>
          <w:sz w:val="24"/>
          <w:szCs w:val="24"/>
        </w:rPr>
        <w:t xml:space="preserve"> - комплекс зданий и сооружений, расположенный на одном земельном участке и используемый для расквартирования воинской части (учреждения) и размещения военнослужащих, рабочих и служащих;</w:t>
      </w:r>
    </w:p>
    <w:p>
      <w:pPr>
        <w:spacing w:after="120"/>
        <w:ind w:firstLine="720"/>
        <w:jc w:val="both"/>
      </w:pPr>
      <w:r>
        <w:rPr>
          <w:rFonts w:ascii="Arial" w:cs="Arial" w:eastAsia="Arial" w:hAnsi="Arial"/>
          <w:b/>
          <w:bCs/>
          <w:sz w:val="24"/>
          <w:szCs w:val="24"/>
        </w:rPr>
        <w:t xml:space="preserve">Капитальный ремонт</w:t>
      </w:r>
      <w:r>
        <w:rPr>
          <w:rFonts w:ascii="Arial" w:cs="Arial" w:eastAsia="Arial" w:hAnsi="Arial"/>
          <w:sz w:val="24"/>
          <w:szCs w:val="24"/>
        </w:rPr>
        <w:t xml:space="preserve"> - комплекс работ, выполняемых с целью устранения физического и морального износа строительных конструкций и систем инженерного оборудования жилого здания, а также поддержания его эксплуатационных показателей и функционального назначения;</w:t>
      </w:r>
    </w:p>
    <w:p>
      <w:pPr>
        <w:spacing w:after="120"/>
        <w:ind w:firstLine="720"/>
        <w:jc w:val="both"/>
      </w:pPr>
      <w:r>
        <w:rPr>
          <w:rFonts w:ascii="Arial" w:cs="Arial" w:eastAsia="Arial" w:hAnsi="Arial"/>
          <w:b/>
          <w:bCs/>
          <w:sz w:val="24"/>
          <w:szCs w:val="24"/>
        </w:rPr>
        <w:t xml:space="preserve">Специализированная организация</w:t>
      </w:r>
      <w:r>
        <w:rPr>
          <w:rFonts w:ascii="Arial" w:cs="Arial" w:eastAsia="Arial" w:hAnsi="Arial"/>
          <w:sz w:val="24"/>
          <w:szCs w:val="24"/>
        </w:rPr>
        <w:t xml:space="preserve"> - юридическое лицо, независимо от формы собственности, осуществляющее техническое обслуживание зданий и сооружений бюджетных организаций;</w:t>
      </w:r>
    </w:p>
    <w:p>
      <w:pPr>
        <w:spacing w:after="120"/>
        <w:ind w:firstLine="720"/>
        <w:jc w:val="both"/>
      </w:pPr>
      <w:r>
        <w:rPr>
          <w:rFonts w:ascii="Arial" w:cs="Arial" w:eastAsia="Arial" w:hAnsi="Arial"/>
          <w:b/>
          <w:bCs/>
          <w:sz w:val="24"/>
          <w:szCs w:val="24"/>
        </w:rPr>
        <w:t xml:space="preserve">Инженерные системы</w:t>
      </w:r>
      <w:r>
        <w:rPr>
          <w:rFonts w:ascii="Arial" w:cs="Arial" w:eastAsia="Arial" w:hAnsi="Arial"/>
          <w:sz w:val="24"/>
          <w:szCs w:val="24"/>
        </w:rPr>
        <w:t xml:space="preserve"> – системы отопления, вентиляции, кондиционирования, горячего водоснабжения и электроснабжения зданий;</w:t>
      </w:r>
    </w:p>
    <w:p>
      <w:pPr>
        <w:spacing w:after="120"/>
        <w:ind w:firstLine="706"/>
        <w:jc w:val="both"/>
      </w:pPr>
      <w:r>
        <w:rPr>
          <w:rFonts w:ascii="Arial" w:cs="Arial" w:eastAsia="Arial" w:hAnsi="Arial"/>
          <w:b/>
          <w:bCs/>
          <w:sz w:val="24"/>
          <w:szCs w:val="24"/>
        </w:rPr>
        <w:t xml:space="preserve">Лимит потребления ТЭР (энергоносителей)</w:t>
      </w:r>
      <w:r>
        <w:rPr>
          <w:rFonts w:ascii="Arial" w:cs="Arial" w:eastAsia="Arial" w:hAnsi="Arial"/>
          <w:sz w:val="24"/>
          <w:szCs w:val="24"/>
        </w:rPr>
        <w:t xml:space="preserve"> - это</w:t>
      </w:r>
      <w:r>
        <w:rPr>
          <w:rFonts w:ascii="Arial" w:cs="Arial" w:eastAsia="Arial" w:hAnsi="Arial"/>
          <w:sz w:val="24"/>
          <w:szCs w:val="24"/>
        </w:rPr>
        <w:t xml:space="preserve"> научно обоснованная </w:t>
      </w:r>
      <w:r>
        <w:rPr>
          <w:rFonts w:ascii="Arial" w:cs="Arial" w:eastAsia="Arial" w:hAnsi="Arial"/>
          <w:sz w:val="24"/>
          <w:szCs w:val="24"/>
        </w:rPr>
        <w:t xml:space="preserve">норма расхода топливно-энергетических ресурсов, в пределах которой бюджетные организации могут пользоваться для выполнения своих управленческих, социально-культурных, научно-технических или иных функций некоммерческого характера </w:t>
      </w:r>
      <w:r>
        <w:rPr>
          <w:rFonts w:ascii="Arial" w:cs="Arial" w:eastAsia="Arial" w:hAnsi="Arial"/>
          <w:sz w:val="24"/>
          <w:szCs w:val="24"/>
        </w:rPr>
        <w:t xml:space="preserve">при соблюдении необходимых санитарно-гигиенических норм и рационального, эффективного их использования в помещениях зданий;</w:t>
      </w:r>
    </w:p>
    <w:p>
      <w:pPr>
        <w:spacing w:after="120"/>
        <w:ind w:firstLine="720"/>
        <w:jc w:val="both"/>
      </w:pPr>
      <w:r>
        <w:rPr>
          <w:rFonts w:ascii="Arial" w:cs="Arial" w:eastAsia="Arial" w:hAnsi="Arial"/>
          <w:b/>
          <w:bCs/>
          <w:sz w:val="24"/>
          <w:szCs w:val="24"/>
        </w:rPr>
        <w:t xml:space="preserve">Лимит потребления бюджетных организаций</w:t>
      </w:r>
      <w:r>
        <w:rPr>
          <w:rFonts w:ascii="Arial" w:cs="Arial" w:eastAsia="Arial" w:hAnsi="Arial"/>
          <w:sz w:val="24"/>
          <w:szCs w:val="24"/>
        </w:rPr>
        <w:t xml:space="preserve"> – предельная величина энергопотребления, используемая организациями бюджетной сферы на собственные нужды, устанавливается уполномоченным государственным органом в натуральном и/или в денежном выражении и не может превышать утвержденных объемов энергопотребления;</w:t>
      </w:r>
    </w:p>
    <w:p>
      <w:pPr>
        <w:spacing w:after="120"/>
        <w:ind w:firstLine="720"/>
        <w:jc w:val="both"/>
      </w:pPr>
      <w:r>
        <w:rPr>
          <w:rFonts w:ascii="Arial" w:cs="Arial" w:eastAsia="Arial" w:hAnsi="Arial"/>
          <w:b/>
          <w:bCs/>
          <w:sz w:val="24"/>
          <w:szCs w:val="24"/>
        </w:rPr>
        <w:t xml:space="preserve">Достоверные величины лимитов потребления топливно-энергетических ресурсов – </w:t>
      </w:r>
      <w:r>
        <w:rPr>
          <w:rFonts w:ascii="Arial" w:cs="Arial" w:eastAsia="Arial" w:hAnsi="Arial"/>
          <w:sz w:val="24"/>
          <w:szCs w:val="24"/>
        </w:rPr>
        <w:t xml:space="preserve">лимиты, определенные на основании расчетно-аналитических средневзвешенных фактических величин потребления энергоносителей за вычетом величин потребления энергоносителей небюджетных организаций, полученных в ходе энергетического обследования бюджетных организаций;</w:t>
      </w:r>
    </w:p>
    <w:p>
      <w:pPr>
        <w:spacing w:after="120"/>
        <w:ind w:firstLine="720"/>
        <w:jc w:val="both"/>
      </w:pPr>
      <w:r>
        <w:rPr>
          <w:rFonts w:ascii="Arial" w:cs="Arial" w:eastAsia="Arial" w:hAnsi="Arial"/>
          <w:b/>
          <w:bCs/>
          <w:i w:val="false"/>
          <w:iCs w:val="false"/>
          <w:sz w:val="24"/>
          <w:szCs w:val="24"/>
        </w:rPr>
        <w:t xml:space="preserve">Отопление</w:t>
      </w:r>
      <w:r>
        <w:rPr>
          <w:rFonts w:ascii="Arial" w:cs="Arial" w:eastAsia="Arial" w:hAnsi="Arial"/>
          <w:sz w:val="24"/>
          <w:szCs w:val="24"/>
        </w:rPr>
        <w:t xml:space="preserve">– это искусственное обогревание помещений здания с возмещением тепловых потерь для поддержания в них температуры на заданном уровне, определяемом условиями теплового комфорта для находящихся людей и требованиям протекающих технологических процессов;</w:t>
      </w:r>
    </w:p>
    <w:p>
      <w:pPr>
        <w:spacing w:after="120"/>
        <w:ind w:firstLine="720"/>
        <w:jc w:val="both"/>
      </w:pPr>
      <w:r>
        <w:rPr>
          <w:rFonts w:ascii="Arial" w:cs="Arial" w:eastAsia="Arial" w:hAnsi="Arial"/>
          <w:b/>
          <w:bCs/>
          <w:sz w:val="24"/>
          <w:szCs w:val="24"/>
        </w:rPr>
        <w:t xml:space="preserve">Система коммунального теплоснабжения</w:t>
      </w:r>
      <w:r>
        <w:rPr>
          <w:rFonts w:ascii="Arial" w:cs="Arial" w:eastAsia="Arial" w:hAnsi="Arial"/>
          <w:sz w:val="24"/>
          <w:szCs w:val="24"/>
        </w:rPr>
        <w:t xml:space="preserve"> - совокупность объединенных общим производственным процессом источников теплоснабжения и (или) тепловых сетей города (района, квартала), другого населенного пункта, эксплуатируемых теплоэнергетической организацией жилищно-коммунального комплекса;</w:t>
      </w:r>
    </w:p>
    <w:p>
      <w:pPr>
        <w:spacing w:after="120"/>
        <w:ind w:firstLine="720"/>
        <w:jc w:val="both"/>
      </w:pPr>
      <w:r>
        <w:rPr>
          <w:rFonts w:ascii="Arial" w:cs="Arial" w:eastAsia="Arial" w:hAnsi="Arial"/>
          <w:b/>
          <w:bCs/>
          <w:i w:val="false"/>
          <w:iCs w:val="false"/>
          <w:sz w:val="24"/>
          <w:szCs w:val="24"/>
        </w:rPr>
        <w:t xml:space="preserve">Горячее водоснабжение</w:t>
      </w:r>
      <w:r>
        <w:rPr>
          <w:rFonts w:ascii="Arial" w:cs="Arial" w:eastAsia="Arial" w:hAnsi="Arial"/>
          <w:sz w:val="24"/>
          <w:szCs w:val="24"/>
        </w:rPr>
        <w:t xml:space="preserve">– это подача потребителям горячей воды с температурой не ниже 57°С и в количествах, согласно действующих норм;</w:t>
      </w:r>
    </w:p>
    <w:p>
      <w:pPr>
        <w:spacing w:after="120"/>
        <w:ind w:firstLine="720"/>
        <w:jc w:val="both"/>
      </w:pPr>
      <w:r>
        <w:rPr>
          <w:rFonts w:ascii="Arial" w:cs="Arial" w:eastAsia="Arial" w:hAnsi="Arial"/>
          <w:b/>
          <w:bCs/>
          <w:sz w:val="24"/>
          <w:szCs w:val="24"/>
        </w:rPr>
        <w:t xml:space="preserve">Технологическая норма расхода электрической и тепловой энергии</w:t>
      </w:r>
      <w:r>
        <w:rPr>
          <w:rFonts w:ascii="Arial" w:cs="Arial" w:eastAsia="Arial" w:hAnsi="Arial"/>
          <w:sz w:val="24"/>
          <w:szCs w:val="24"/>
        </w:rPr>
        <w:t xml:space="preserve"> включает весь расход их на единицу переработанной продукции (т., шт., м</w:t>
      </w:r>
      <w:r>
        <w:rPr>
          <w:rFonts w:ascii="Arial" w:cs="Arial" w:eastAsia="Arial" w:hAnsi="Arial"/>
          <w:sz w:val="24"/>
          <w:szCs w:val="24"/>
        </w:rPr>
        <w:t xml:space="preserve">3</w:t>
      </w:r>
      <w:r>
        <w:rPr>
          <w:rFonts w:ascii="Arial" w:cs="Arial" w:eastAsia="Arial" w:hAnsi="Arial"/>
          <w:sz w:val="24"/>
          <w:szCs w:val="24"/>
        </w:rPr>
        <w:t xml:space="preserve"> и т.д.), состоящий из расхода на основные и вспомогательные технологические процессы по переработке данного вида продукции (выгрузка из вагонов, автомашин, размещение на территории склада, базы, погрузка при отпуске заказчику, зарядка аккумуляторных батарей и пр.) и потерь энергии, обусловленных характером применяемого оборудования (кроме внешних потерь);</w:t>
      </w:r>
    </w:p>
    <w:p>
      <w:pPr>
        <w:spacing w:after="120"/>
        <w:ind w:firstLine="720"/>
        <w:jc w:val="both"/>
      </w:pPr>
      <w:r>
        <w:rPr>
          <w:rFonts w:ascii="Arial" w:cs="Arial" w:eastAsia="Arial" w:hAnsi="Arial"/>
          <w:b/>
          <w:bCs/>
          <w:i w:val="false"/>
          <w:iCs w:val="false"/>
          <w:sz w:val="24"/>
          <w:szCs w:val="24"/>
        </w:rPr>
        <w:t xml:space="preserve">Технологические нужды</w:t>
      </w:r>
      <w:r>
        <w:rPr>
          <w:rFonts w:ascii="Arial" w:cs="Arial" w:eastAsia="Arial" w:hAnsi="Arial"/>
          <w:i/>
          <w:iCs/>
          <w:sz w:val="24"/>
          <w:szCs w:val="24"/>
        </w:rPr>
        <w:t xml:space="preserve"> –</w:t>
      </w:r>
      <w:r>
        <w:rPr>
          <w:rFonts w:ascii="Arial" w:cs="Arial" w:eastAsia="Arial" w:hAnsi="Arial"/>
          <w:sz w:val="24"/>
          <w:szCs w:val="24"/>
        </w:rPr>
        <w:t xml:space="preserve"> это потребление тепловой энергии, необходимой для выполнения технологических и/или производственных процессов;</w:t>
      </w:r>
    </w:p>
    <w:p>
      <w:pPr>
        <w:spacing w:after="120"/>
        <w:ind w:firstLine="720"/>
        <w:jc w:val="both"/>
      </w:pPr>
      <w:r>
        <w:rPr>
          <w:rFonts w:ascii="Arial" w:cs="Arial" w:eastAsia="Arial" w:hAnsi="Arial"/>
          <w:b/>
          <w:bCs/>
          <w:sz w:val="24"/>
          <w:szCs w:val="24"/>
        </w:rPr>
        <w:t xml:space="preserve">Условная величина</w:t>
      </w:r>
      <w:r>
        <w:rPr>
          <w:rFonts w:ascii="Arial" w:cs="Arial" w:eastAsia="Arial" w:hAnsi="Arial"/>
          <w:sz w:val="24"/>
          <w:szCs w:val="24"/>
        </w:rPr>
        <w:t xml:space="preserve"> - единица, занимающая наибольший удельный вес в общем объеме перерабатываемой на базе продукции;</w:t>
      </w:r>
    </w:p>
    <w:p>
      <w:pPr>
        <w:spacing w:after="120"/>
        <w:ind w:firstLine="720"/>
        <w:jc w:val="both"/>
      </w:pPr>
      <w:r>
        <w:rPr>
          <w:rFonts w:ascii="Arial" w:cs="Arial" w:eastAsia="Arial" w:hAnsi="Arial"/>
          <w:sz w:val="24"/>
          <w:szCs w:val="24"/>
        </w:rPr>
        <w:t xml:space="preserve">Удельная тепловая характеристика здания </w:t>
      </w:r>
      <w:r>
        <w:rPr>
          <w:rFonts w:ascii="Arial" w:cs="Arial" w:eastAsia="Arial" w:hAnsi="Arial"/>
          <w:sz w:val="24"/>
          <w:szCs w:val="24"/>
        </w:rPr>
        <w:t xml:space="preserve">– средний расход тепла 1 м</w:t>
      </w:r>
      <w:r>
        <w:rPr>
          <w:rFonts w:ascii="Arial" w:cs="Arial" w:eastAsia="Arial" w:hAnsi="Arial"/>
          <w:sz w:val="24"/>
          <w:szCs w:val="24"/>
        </w:rPr>
        <w:t xml:space="preserve">3</w:t>
      </w:r>
      <w:r>
        <w:rPr>
          <w:rFonts w:ascii="Arial" w:cs="Arial" w:eastAsia="Arial" w:hAnsi="Arial"/>
          <w:sz w:val="24"/>
          <w:szCs w:val="24"/>
        </w:rPr>
        <w:t xml:space="preserve"> здания при разности температур внутреннего и наружного воздуха в 1°С. За расчетную температуру наружного воздуха при проектировании систем отопления принимают среднюю температуру самой холодной пятидневки, определенную из восьми наиболее холодных зим за 50 лет наблюдений;</w:t>
      </w:r>
    </w:p>
    <w:p>
      <w:pPr>
        <w:spacing w:after="120"/>
        <w:ind w:firstLine="720"/>
        <w:jc w:val="both"/>
      </w:pPr>
      <w:r>
        <w:rPr>
          <w:rFonts w:ascii="Arial" w:cs="Arial" w:eastAsia="Arial" w:hAnsi="Arial"/>
          <w:b/>
          <w:bCs/>
          <w:i w:val="false"/>
          <w:iCs w:val="false"/>
          <w:sz w:val="24"/>
          <w:szCs w:val="24"/>
        </w:rPr>
        <w:t xml:space="preserve">1 калория</w:t>
      </w:r>
      <w:r>
        <w:rPr>
          <w:rFonts w:ascii="Arial" w:cs="Arial" w:eastAsia="Arial" w:hAnsi="Arial"/>
          <w:sz w:val="24"/>
          <w:szCs w:val="24"/>
        </w:rPr>
        <w:t xml:space="preserve">– это количество теплоты, сообщенное воде массой в 1 грамм при нагреве его на 1°С.</w:t>
      </w:r>
      <w:r>
        <w:rPr>
          <w:rFonts w:ascii="Arial" w:cs="Arial" w:eastAsia="Arial" w:hAnsi="Arial"/>
          <w:sz w:val="24"/>
          <w:szCs w:val="24"/>
        </w:rPr>
        <w:t xml:space="preserve">10</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коэффициент перевода из ккал в Гкал;</w:t>
      </w:r>
    </w:p>
    <w:p>
      <w:pPr>
        <w:spacing w:after="120"/>
        <w:ind w:firstLine="720"/>
        <w:jc w:val="both"/>
      </w:pPr>
      <w:r>
        <w:rPr>
          <w:rFonts w:ascii="Arial" w:cs="Arial" w:eastAsia="Arial" w:hAnsi="Arial"/>
          <w:b/>
          <w:bCs/>
          <w:i w:val="false"/>
          <w:iCs w:val="false"/>
          <w:sz w:val="24"/>
          <w:szCs w:val="24"/>
        </w:rPr>
        <w:t xml:space="preserve">Коэффициент теплоотдачи</w:t>
      </w:r>
      <w:r>
        <w:rPr>
          <w:rFonts w:ascii="Arial" w:cs="Arial" w:eastAsia="Arial" w:hAnsi="Arial"/>
          <w:sz w:val="24"/>
          <w:szCs w:val="24"/>
        </w:rPr>
        <w:t xml:space="preserve"> – количество теплоты, прошедшей в результате теплообмена от жидкости к стенке и наоборот через 1 м</w:t>
      </w:r>
      <w:r>
        <w:rPr>
          <w:rFonts w:ascii="Arial" w:cs="Arial" w:eastAsia="Arial" w:hAnsi="Arial"/>
          <w:sz w:val="24"/>
          <w:szCs w:val="24"/>
        </w:rPr>
        <w:t xml:space="preserve">2</w:t>
      </w:r>
      <w:r>
        <w:rPr>
          <w:rFonts w:ascii="Arial" w:cs="Arial" w:eastAsia="Arial" w:hAnsi="Arial"/>
          <w:sz w:val="24"/>
          <w:szCs w:val="24"/>
        </w:rPr>
        <w:t xml:space="preserve"> ее поверхности при разности температур в 1 °С за время, равное 1 час;</w:t>
      </w:r>
    </w:p>
    <w:p>
      <w:pPr>
        <w:spacing w:after="120"/>
        <w:ind w:firstLine="720"/>
        <w:jc w:val="both"/>
      </w:pPr>
      <w:r>
        <w:rPr>
          <w:rFonts w:ascii="Arial" w:cs="Arial" w:eastAsia="Arial" w:hAnsi="Arial"/>
          <w:b/>
          <w:bCs/>
          <w:sz w:val="24"/>
          <w:szCs w:val="24"/>
        </w:rPr>
        <w:t xml:space="preserve">КПД (коэффициент полезного действия)</w:t>
      </w:r>
      <w:r>
        <w:rPr>
          <w:rFonts w:ascii="Arial" w:cs="Arial" w:eastAsia="Arial" w:hAnsi="Arial"/>
          <w:sz w:val="24"/>
          <w:szCs w:val="24"/>
        </w:rPr>
        <w:t xml:space="preserve"> отопительного котла – это соотношение объема потребляемого топлива к объему выделяемого тепла;</w:t>
      </w:r>
    </w:p>
    <w:p>
      <w:pPr>
        <w:spacing w:after="120"/>
        <w:ind w:firstLine="720"/>
        <w:jc w:val="both"/>
      </w:pPr>
      <w:r>
        <w:rPr>
          <w:rFonts w:ascii="Arial" w:cs="Arial" w:eastAsia="Arial" w:hAnsi="Arial"/>
          <w:b/>
          <w:bCs/>
          <w:sz w:val="24"/>
          <w:szCs w:val="24"/>
        </w:rPr>
        <w:t xml:space="preserve">Норма расхода топлива</w:t>
      </w:r>
      <w:r>
        <w:rPr>
          <w:rFonts w:ascii="Arial" w:cs="Arial" w:eastAsia="Arial" w:hAnsi="Arial"/>
          <w:sz w:val="24"/>
          <w:szCs w:val="24"/>
        </w:rPr>
        <w:t xml:space="preserve"> –</w:t>
      </w:r>
      <w:r>
        <w:rPr>
          <w:rFonts w:ascii="Arial" w:cs="Arial" w:eastAsia="Arial" w:hAnsi="Arial"/>
          <w:sz w:val="24"/>
          <w:szCs w:val="24"/>
        </w:rPr>
        <w:t xml:space="preserve">количество топлива, которое расходуется на производство тепловой энергии, используемой на цели отопления и горячего водоснабжения тепловырабатывающими устройствами (котельные установки, печи-буржуйки и др.), эксплуатируемыми с соблюдением установленных режимов и параметров в соответствии с принятой технологией;</w:t>
      </w:r>
    </w:p>
    <w:p>
      <w:pPr>
        <w:spacing w:after="120"/>
        <w:ind w:firstLine="720"/>
        <w:jc w:val="both"/>
      </w:pPr>
      <w:r>
        <w:rPr>
          <w:rFonts w:ascii="Arial" w:cs="Arial" w:eastAsia="Arial" w:hAnsi="Arial"/>
          <w:b/>
          <w:bCs/>
          <w:sz w:val="24"/>
          <w:szCs w:val="24"/>
        </w:rPr>
        <w:t xml:space="preserve">Присоединенная тепловая нагрузка (мощность)</w:t>
      </w:r>
      <w:r>
        <w:rPr>
          <w:rFonts w:ascii="Arial" w:cs="Arial" w:eastAsia="Arial" w:hAnsi="Arial"/>
          <w:sz w:val="24"/>
          <w:szCs w:val="24"/>
        </w:rPr>
        <w:t xml:space="preserve"> – суммарная проектная максимальная (расчетная) часовая тепловая нагрузка (мощность) либо суммарный проектный максимальный (расчетный) часовой расход теплоносителя для всех систем теплопотребления, присоединенных к тепловой сети теплоснабжающей организации;</w:t>
      </w:r>
    </w:p>
    <w:p>
      <w:pPr>
        <w:spacing w:after="120"/>
        <w:ind w:firstLine="720"/>
        <w:jc w:val="both"/>
      </w:pPr>
      <w:r>
        <w:rPr>
          <w:rFonts w:ascii="Arial" w:cs="Arial" w:eastAsia="Arial" w:hAnsi="Arial"/>
          <w:b/>
          <w:bCs/>
          <w:sz w:val="24"/>
          <w:szCs w:val="24"/>
        </w:rPr>
        <w:t xml:space="preserve">Произведенная тепловая энерги</w:t>
      </w:r>
      <w:r>
        <w:rPr>
          <w:rFonts w:ascii="Arial" w:cs="Arial" w:eastAsia="Arial" w:hAnsi="Arial"/>
          <w:sz w:val="24"/>
          <w:szCs w:val="24"/>
        </w:rPr>
        <w:t xml:space="preserve">я – тепловая энергия, произведенная котельным агрегатом (котельными агрегатами), установленным (установленными) в котельной (источнике теплоснабжения);</w:t>
      </w:r>
    </w:p>
    <w:p>
      <w:pPr>
        <w:spacing w:after="120"/>
        <w:ind w:firstLine="720"/>
        <w:jc w:val="both"/>
      </w:pPr>
      <w:r>
        <w:rPr>
          <w:rFonts w:ascii="Arial" w:cs="Arial" w:eastAsia="Arial" w:hAnsi="Arial"/>
          <w:b/>
          <w:bCs/>
          <w:sz w:val="24"/>
          <w:szCs w:val="24"/>
        </w:rPr>
        <w:t xml:space="preserve">Выработанная тепловая энергия</w:t>
      </w:r>
      <w:r>
        <w:rPr>
          <w:rFonts w:ascii="Arial" w:cs="Arial" w:eastAsia="Arial" w:hAnsi="Arial"/>
          <w:sz w:val="24"/>
          <w:szCs w:val="24"/>
        </w:rPr>
        <w:t xml:space="preserve"> – тепловая энергия, равная сумме тепловой энергии, произведенной котельными агрегатами котельной (источника теплоснабжения), за вычетом тепловой энергии, использованной в котельной (источнике теплоснабжения) на собственные нужды, и переданная в тепловую сеть;</w:t>
      </w:r>
    </w:p>
    <w:p>
      <w:pPr>
        <w:spacing w:after="120"/>
        <w:ind w:firstLine="720"/>
        <w:jc w:val="both"/>
      </w:pPr>
      <w:r>
        <w:rPr>
          <w:rFonts w:ascii="Arial" w:cs="Arial" w:eastAsia="Arial" w:hAnsi="Arial"/>
          <w:b/>
          <w:bCs/>
          <w:sz w:val="24"/>
          <w:szCs w:val="24"/>
        </w:rPr>
        <w:t xml:space="preserve">Отпущенная тепловая энергия</w:t>
      </w:r>
      <w:r>
        <w:rPr>
          <w:rFonts w:ascii="Arial" w:cs="Arial" w:eastAsia="Arial" w:hAnsi="Arial"/>
          <w:sz w:val="24"/>
          <w:szCs w:val="24"/>
        </w:rPr>
        <w:t xml:space="preserve"> – тепловая энергия, отпущенная потребителю тепловой энергии (потребителям) на границе эксплуатационной ответственности (балансовой принадлежности);</w:t>
      </w:r>
    </w:p>
    <w:p>
      <w:pPr>
        <w:spacing w:after="120"/>
        <w:ind w:firstLine="720"/>
        <w:jc w:val="both"/>
      </w:pPr>
      <w:r>
        <w:rPr>
          <w:rFonts w:ascii="Arial" w:cs="Arial" w:eastAsia="Arial" w:hAnsi="Arial"/>
          <w:b/>
          <w:bCs/>
          <w:sz w:val="24"/>
          <w:szCs w:val="24"/>
        </w:rPr>
        <w:t xml:space="preserve">Расчетная часовая тепловая нагрузка потребителя тепловой энергии</w:t>
      </w:r>
      <w:r>
        <w:rPr>
          <w:rFonts w:ascii="Arial" w:cs="Arial" w:eastAsia="Arial" w:hAnsi="Arial"/>
          <w:sz w:val="24"/>
          <w:szCs w:val="24"/>
        </w:rPr>
        <w:t xml:space="preserve"> (</w:t>
      </w:r>
      <w:r>
        <w:rPr>
          <w:rFonts w:ascii="Arial" w:cs="Arial" w:eastAsia="Arial" w:hAnsi="Arial"/>
          <w:b/>
          <w:bCs/>
          <w:sz w:val="24"/>
          <w:szCs w:val="24"/>
        </w:rPr>
        <w:t xml:space="preserve">расчетное тепловое потребление</w:t>
      </w:r>
      <w:r>
        <w:rPr>
          <w:rFonts w:ascii="Arial" w:cs="Arial" w:eastAsia="Arial" w:hAnsi="Arial"/>
          <w:sz w:val="24"/>
          <w:szCs w:val="24"/>
        </w:rPr>
        <w:t xml:space="preserve">) – сумма значений часовой тепловой нагрузки по видам теплового потребления (отопление, приточная вентиляция, кондиционирование воздуха, горячее водоснабжение), определенных при расчетных значениях температуры наружного воздуха для каждого из видов теплового потребления, и среднего значения часовой за неделю нагрузки горячего водоснабжения;</w:t>
      </w:r>
    </w:p>
    <w:p>
      <w:pPr>
        <w:spacing w:after="120"/>
        <w:ind w:firstLine="720"/>
        <w:jc w:val="both"/>
      </w:pPr>
      <w:r>
        <w:rPr>
          <w:rFonts w:ascii="Arial" w:cs="Arial" w:eastAsia="Arial" w:hAnsi="Arial"/>
          <w:b/>
          <w:bCs/>
          <w:sz w:val="24"/>
          <w:szCs w:val="24"/>
        </w:rPr>
        <w:t xml:space="preserve">Расчетная часовая тепловая нагрузка источника теплоснабжения</w:t>
      </w:r>
      <w:r>
        <w:rPr>
          <w:rFonts w:ascii="Arial" w:cs="Arial" w:eastAsia="Arial" w:hAnsi="Arial"/>
          <w:sz w:val="24"/>
          <w:szCs w:val="24"/>
        </w:rPr>
        <w:t xml:space="preserve"> – сумма расчетных значений часовой тепловой нагрузки всех потребителей тепловой энергии в системе теплоснабжения и тепловых потерь трубопроводами тепловой сети при расчетном значении температуры наружного воздуха;</w:t>
      </w:r>
    </w:p>
    <w:p>
      <w:pPr>
        <w:spacing w:after="120"/>
        <w:ind w:firstLine="720"/>
        <w:jc w:val="both"/>
      </w:pPr>
      <w:r>
        <w:rPr>
          <w:rFonts w:ascii="Arial" w:cs="Arial" w:eastAsia="Arial" w:hAnsi="Arial"/>
          <w:b/>
          <w:bCs/>
          <w:sz w:val="24"/>
          <w:szCs w:val="24"/>
        </w:rPr>
        <w:t xml:space="preserve">Расчетный часовой расход теплоносителя на отопление (приточную </w:t>
      </w:r>
      <w:r>
        <w:rPr>
          <w:rFonts w:ascii="Arial" w:cs="Arial" w:eastAsia="Arial" w:hAnsi="Arial"/>
          <w:sz w:val="24"/>
          <w:szCs w:val="24"/>
        </w:rPr>
        <w:t xml:space="preserve">вентиляцию) – значение часового расхода теплоносителя на отопление (приточную вентиляцию) при значении температуры наружного воздуха, расчетном для проектирования отопления (приточной вентиляции);</w:t>
      </w:r>
    </w:p>
    <w:p>
      <w:pPr>
        <w:spacing w:after="120"/>
        <w:ind w:firstLine="720"/>
        <w:jc w:val="both"/>
      </w:pPr>
      <w:r>
        <w:rPr>
          <w:rFonts w:ascii="Arial" w:cs="Arial" w:eastAsia="Arial" w:hAnsi="Arial"/>
          <w:b/>
          <w:bCs/>
          <w:sz w:val="24"/>
          <w:szCs w:val="24"/>
        </w:rPr>
        <w:t xml:space="preserve">Расчетный часовой расход теплоносителя на горячее водоснабжение</w:t>
      </w:r>
      <w:r>
        <w:rPr>
          <w:rFonts w:ascii="Arial" w:cs="Arial" w:eastAsia="Arial" w:hAnsi="Arial"/>
          <w:sz w:val="24"/>
          <w:szCs w:val="24"/>
        </w:rPr>
        <w:t xml:space="preserve"> – значение часового расхода теплоносителя на горячее водоснабжение, соответствующее среднему за неделю значению часовой тепловой нагрузки горячего водоснабжения;</w:t>
      </w:r>
    </w:p>
    <w:p>
      <w:pPr>
        <w:spacing w:after="120"/>
        <w:ind w:firstLine="720"/>
        <w:jc w:val="both"/>
      </w:pPr>
      <w:r>
        <w:rPr>
          <w:rFonts w:ascii="Arial" w:cs="Arial" w:eastAsia="Arial" w:hAnsi="Arial"/>
          <w:b/>
          <w:bCs/>
          <w:sz w:val="24"/>
          <w:szCs w:val="24"/>
        </w:rPr>
        <w:t xml:space="preserve">Энергосбережение </w:t>
      </w:r>
      <w:r>
        <w:rPr>
          <w:rFonts w:ascii="Arial" w:cs="Arial" w:eastAsia="Arial" w:hAnsi="Arial"/>
          <w:sz w:val="24"/>
          <w:szCs w:val="24"/>
        </w:rPr>
        <w:t xml:space="preserve">– реализация правовых, организационных, научных, производственных, технических и экономических мер, направленных на эффективное использование энергетических ресурсов и на вовлечение в хозяйственный оборот возобновляемых источников энергии;</w:t>
      </w:r>
    </w:p>
    <w:p>
      <w:pPr>
        <w:spacing w:after="120"/>
        <w:ind w:firstLine="720"/>
        <w:jc w:val="both"/>
      </w:pPr>
      <w:r>
        <w:rPr>
          <w:rFonts w:ascii="Arial" w:cs="Arial" w:eastAsia="Arial" w:hAnsi="Arial"/>
          <w:b/>
          <w:bCs/>
          <w:sz w:val="24"/>
          <w:szCs w:val="24"/>
        </w:rPr>
        <w:t xml:space="preserve">Единый государственный энергетический реестр</w:t>
      </w:r>
      <w:r>
        <w:rPr>
          <w:rFonts w:ascii="Arial" w:cs="Arial" w:eastAsia="Arial" w:hAnsi="Arial"/>
          <w:sz w:val="24"/>
          <w:szCs w:val="24"/>
        </w:rPr>
        <w:t xml:space="preserve"> – база данных, содержащая полный перечень бюджетных организаций и их структурных подразделений, подлежащих обязательному энергетическому обследованию;</w:t>
      </w:r>
    </w:p>
    <w:p>
      <w:pPr>
        <w:spacing w:after="120"/>
        <w:ind w:firstLine="720"/>
        <w:jc w:val="both"/>
      </w:pPr>
      <w:r>
        <w:rPr>
          <w:rFonts w:ascii="Arial" w:cs="Arial" w:eastAsia="Arial" w:hAnsi="Arial"/>
          <w:b/>
          <w:bCs/>
          <w:sz w:val="24"/>
          <w:szCs w:val="24"/>
        </w:rPr>
        <w:t xml:space="preserve">Энергетическое обследование (энергоаудит) </w:t>
      </w:r>
      <w:r>
        <w:rPr>
          <w:rFonts w:ascii="Arial" w:cs="Arial" w:eastAsia="Arial" w:hAnsi="Arial"/>
          <w:sz w:val="24"/>
          <w:szCs w:val="24"/>
        </w:rPr>
        <w:t xml:space="preserve">– сбор и обработка фактической информации об использовании энергетических ресурсов с целью получения достоверной информации об объеме используемых энергетических ресурсов, полученных в ходе обследования потребителей и поставщиков ТЭР, а также установлении показателей эффективности и выработка экономически обоснованных мер по их повышению, недопущение необоснованного роста и сокращение бюджетных расходов на оплату энергоресурсов;</w:t>
      </w:r>
    </w:p>
    <w:p>
      <w:pPr>
        <w:spacing w:after="120"/>
        <w:ind w:firstLine="720"/>
        <w:jc w:val="both"/>
      </w:pPr>
      <w:r>
        <w:rPr>
          <w:rFonts w:ascii="Arial" w:cs="Arial" w:eastAsia="Arial" w:hAnsi="Arial"/>
          <w:b/>
          <w:bCs/>
          <w:sz w:val="24"/>
          <w:szCs w:val="24"/>
        </w:rPr>
        <w:t xml:space="preserve">Энергоаудиторская организация</w:t>
      </w:r>
      <w:r>
        <w:rPr>
          <w:rFonts w:ascii="Arial" w:cs="Arial" w:eastAsia="Arial" w:hAnsi="Arial"/>
          <w:sz w:val="24"/>
          <w:szCs w:val="24"/>
        </w:rPr>
        <w:t xml:space="preserve"> – научное государственное учреждение (ныне Научно-исследовательский институт энергетики, за исключением государственных надзорных органов), осуществляющая энергетический аудит в соответствии с действующим Положением;</w:t>
      </w:r>
    </w:p>
    <w:p>
      <w:pPr>
        <w:spacing w:after="120"/>
        <w:ind w:firstLine="720"/>
        <w:jc w:val="both"/>
      </w:pPr>
      <w:r>
        <w:rPr>
          <w:rFonts w:ascii="Arial" w:cs="Arial" w:eastAsia="Arial" w:hAnsi="Arial"/>
          <w:b/>
          <w:bCs/>
          <w:sz w:val="24"/>
          <w:szCs w:val="24"/>
        </w:rPr>
        <w:t xml:space="preserve">Энергоаудитор (специалист по энергетическому аудиту)</w:t>
      </w:r>
      <w:r>
        <w:rPr>
          <w:rFonts w:ascii="Arial" w:cs="Arial" w:eastAsia="Arial" w:hAnsi="Arial"/>
          <w:sz w:val="24"/>
          <w:szCs w:val="24"/>
        </w:rPr>
        <w:t xml:space="preserve">– физическое лицо - сотрудник научного государственного учреждения (ныне Научно-исследовательский институт энергетики</w:t>
      </w:r>
      <w:r>
        <w:rPr>
          <w:rFonts w:ascii="Arial" w:cs="Arial" w:eastAsia="Arial" w:hAnsi="Arial"/>
          <w:sz w:val="24"/>
          <w:szCs w:val="24"/>
        </w:rPr>
        <w:t xml:space="preserve">) </w:t>
      </w:r>
      <w:r>
        <w:rPr>
          <w:rFonts w:ascii="Arial" w:cs="Arial" w:eastAsia="Arial" w:hAnsi="Arial"/>
          <w:sz w:val="24"/>
          <w:szCs w:val="24"/>
        </w:rPr>
        <w:t xml:space="preserve">осуществляющее энергетические обследования потребителей ТЭР, включая бюджетные организации в соответствии со своими функциональными обязанностями на основании Положения учреждения и/или поручений Кабинета Министров Кыргызской Республики;</w:t>
      </w:r>
    </w:p>
    <w:p>
      <w:pPr>
        <w:spacing w:after="120"/>
        <w:ind w:firstLine="720"/>
        <w:jc w:val="both"/>
      </w:pPr>
      <w:r>
        <w:rPr>
          <w:rFonts w:ascii="Arial" w:cs="Arial" w:eastAsia="Arial" w:hAnsi="Arial"/>
          <w:b/>
          <w:bCs/>
          <w:sz w:val="24"/>
          <w:szCs w:val="24"/>
        </w:rPr>
        <w:t xml:space="preserve">Энергетический паспорт здания –</w:t>
      </w:r>
      <w:r>
        <w:rPr>
          <w:rFonts w:ascii="Arial" w:cs="Arial" w:eastAsia="Arial" w:hAnsi="Arial"/>
          <w:sz w:val="24"/>
          <w:szCs w:val="24"/>
        </w:rPr>
        <w:t xml:space="preserve"> официальный документ, подтверждающий факт проведения энергетического аудита, дающий оценку энергетической эффективности и теплотехнических показателей здания на основе сопоставления фактических и нормативных значений энергетической эффективности и теплотехнических показателей, установленных действующими СНиПами и нормативными документами;</w:t>
      </w:r>
    </w:p>
    <w:p>
      <w:pPr>
        <w:spacing w:after="120"/>
        <w:ind w:firstLine="720"/>
        <w:jc w:val="both"/>
      </w:pPr>
      <w:r>
        <w:rPr>
          <w:rFonts w:ascii="Arial" w:cs="Arial" w:eastAsia="Arial" w:hAnsi="Arial"/>
          <w:b/>
          <w:bCs/>
          <w:sz w:val="24"/>
          <w:szCs w:val="24"/>
        </w:rPr>
        <w:t xml:space="preserve">Анкета по энергетическому обследованию (Анкета)</w:t>
      </w:r>
      <w:r>
        <w:rPr>
          <w:rFonts w:ascii="Arial" w:cs="Arial" w:eastAsia="Arial" w:hAnsi="Arial"/>
          <w:sz w:val="24"/>
          <w:szCs w:val="24"/>
        </w:rPr>
        <w:t xml:space="preserve"> – официальный документ,отражающая подробную информацию о существующем положении, включая информацию о топливно-энергетических ресурсах в разрезе отдельно стоящего здания;</w:t>
      </w:r>
    </w:p>
    <w:p>
      <w:pPr>
        <w:spacing w:after="120"/>
        <w:ind w:firstLine="720"/>
        <w:jc w:val="both"/>
      </w:pPr>
      <w:r>
        <w:rPr>
          <w:rFonts w:ascii="Arial" w:cs="Arial" w:eastAsia="Arial" w:hAnsi="Arial"/>
          <w:b/>
          <w:bCs/>
          <w:sz w:val="24"/>
          <w:szCs w:val="24"/>
        </w:rPr>
        <w:t xml:space="preserve">Эффективное испо</w:t>
      </w:r>
      <w:r>
        <w:rPr>
          <w:rFonts w:ascii="Arial" w:cs="Arial" w:eastAsia="Arial" w:hAnsi="Arial"/>
          <w:b/>
          <w:bCs/>
          <w:sz w:val="24"/>
          <w:szCs w:val="24"/>
        </w:rPr>
        <w:t xml:space="preserve">льзование энергетических ресурсов</w:t>
      </w:r>
      <w:r>
        <w:rPr>
          <w:rFonts w:ascii="Arial" w:cs="Arial" w:eastAsia="Arial" w:hAnsi="Arial"/>
          <w:sz w:val="24"/>
          <w:szCs w:val="24"/>
        </w:rPr>
        <w:t xml:space="preserve">– достижение эконом</w:t>
      </w:r>
      <w:r>
        <w:rPr>
          <w:rFonts w:ascii="Arial" w:cs="Arial" w:eastAsia="Arial" w:hAnsi="Arial"/>
          <w:sz w:val="24"/>
          <w:szCs w:val="24"/>
        </w:rPr>
        <w:t xml:space="preserve">ически оправданной эффективности использования энергетических ресурсов при существующем уровне развития техники и технологий, и соблюдении требований к охране окружающей природной среды;</w:t>
      </w:r>
    </w:p>
    <w:p>
      <w:pPr>
        <w:spacing w:after="120"/>
        <w:ind w:firstLine="720"/>
        <w:jc w:val="both"/>
      </w:pPr>
      <w:r>
        <w:rPr>
          <w:rFonts w:ascii="Arial" w:cs="Arial" w:eastAsia="Arial" w:hAnsi="Arial"/>
          <w:b/>
          <w:bCs/>
          <w:sz w:val="24"/>
          <w:szCs w:val="24"/>
        </w:rPr>
        <w:t xml:space="preserve">Пока</w:t>
      </w:r>
      <w:r>
        <w:rPr>
          <w:rFonts w:ascii="Arial" w:cs="Arial" w:eastAsia="Arial" w:hAnsi="Arial"/>
          <w:b/>
          <w:bCs/>
          <w:sz w:val="24"/>
          <w:szCs w:val="24"/>
        </w:rPr>
        <w:t xml:space="preserve">затель энергоэффективности</w:t>
      </w:r>
      <w:r>
        <w:rPr>
          <w:rFonts w:ascii="Arial" w:cs="Arial" w:eastAsia="Arial" w:hAnsi="Arial"/>
          <w:sz w:val="24"/>
          <w:szCs w:val="24"/>
        </w:rPr>
        <w:t xml:space="preserve">– абсолютная или удельная величина потребления или потери энергетических ресурсов</w:t>
      </w:r>
      <w:r>
        <w:rPr>
          <w:rFonts w:ascii="Arial" w:cs="Arial" w:eastAsia="Arial" w:hAnsi="Arial"/>
          <w:sz w:val="24"/>
          <w:szCs w:val="24"/>
        </w:rPr>
        <w:t xml:space="preserve"> для продукции любого назначен</w:t>
      </w:r>
      <w:r>
        <w:rPr>
          <w:rFonts w:ascii="Arial" w:cs="Arial" w:eastAsia="Arial" w:hAnsi="Arial"/>
          <w:sz w:val="24"/>
          <w:szCs w:val="24"/>
        </w:rPr>
        <w:t xml:space="preserve">ия, установленная государственными стандартами;</w:t>
      </w:r>
    </w:p>
    <w:p>
      <w:pPr>
        <w:spacing w:after="120"/>
        <w:ind w:firstLine="720"/>
        <w:jc w:val="both"/>
      </w:pPr>
      <w:r>
        <w:rPr>
          <w:rFonts w:ascii="Arial" w:cs="Arial" w:eastAsia="Arial" w:hAnsi="Arial"/>
          <w:b/>
          <w:bCs/>
          <w:sz w:val="24"/>
          <w:szCs w:val="24"/>
        </w:rPr>
        <w:t xml:space="preserve">Непроизводительный расход топливно-энергетических ресурсов - </w:t>
      </w:r>
      <w:r>
        <w:rPr>
          <w:rFonts w:ascii="Arial" w:cs="Arial" w:eastAsia="Arial" w:hAnsi="Arial"/>
          <w:sz w:val="24"/>
          <w:szCs w:val="24"/>
        </w:rPr>
        <w:t xml:space="preserve">потери</w:t>
      </w:r>
      <w:r>
        <w:rPr>
          <w:rFonts w:ascii="Arial" w:cs="Arial" w:eastAsia="Arial" w:hAnsi="Arial"/>
          <w:sz w:val="24"/>
          <w:szCs w:val="24"/>
        </w:rPr>
        <w:t xml:space="preserve"> энергоресурсов, вызванные нарушением стандартов, норм, регламентов и бесхо</w:t>
      </w:r>
      <w:r>
        <w:rPr>
          <w:rFonts w:ascii="Arial" w:cs="Arial" w:eastAsia="Arial" w:hAnsi="Arial"/>
          <w:sz w:val="24"/>
          <w:szCs w:val="24"/>
        </w:rPr>
        <w:t xml:space="preserve">зяйственностью</w:t>
      </w:r>
      <w:r>
        <w:rPr>
          <w:rFonts w:ascii="Arial" w:cs="Arial" w:eastAsia="Arial" w:hAnsi="Arial"/>
          <w:sz w:val="24"/>
          <w:szCs w:val="24"/>
        </w:rPr>
        <w:t xml:space="preserve">;</w:t>
      </w:r>
    </w:p>
    <w:p>
      <w:pPr>
        <w:spacing w:after="120"/>
        <w:ind w:firstLine="720"/>
        <w:jc w:val="both"/>
      </w:pPr>
      <w:r>
        <w:rPr>
          <w:rFonts w:ascii="Arial" w:cs="Arial" w:eastAsia="Arial" w:hAnsi="Arial"/>
          <w:b/>
          <w:bCs/>
          <w:sz w:val="24"/>
          <w:szCs w:val="24"/>
        </w:rPr>
        <w:t xml:space="preserve">Мониторинг потребления энергии (энергомониторинг) –</w:t>
      </w:r>
      <w:r>
        <w:rPr>
          <w:rFonts w:ascii="Arial" w:cs="Arial" w:eastAsia="Arial" w:hAnsi="Arial"/>
          <w:sz w:val="24"/>
          <w:szCs w:val="24"/>
        </w:rPr>
        <w:t xml:space="preserve"> наблюдение за потреблением энергии, выявление и устранение причин отклонений от базовых показателей;</w:t>
      </w:r>
    </w:p>
    <w:p>
      <w:pPr>
        <w:spacing w:after="120"/>
        <w:ind w:firstLine="720"/>
        <w:jc w:val="both"/>
      </w:pPr>
      <w:r>
        <w:rPr>
          <w:rFonts w:ascii="Arial" w:cs="Arial" w:eastAsia="Arial" w:hAnsi="Arial"/>
          <w:b/>
          <w:bCs/>
          <w:sz w:val="24"/>
          <w:szCs w:val="24"/>
        </w:rPr>
        <w:t xml:space="preserve">Действующий тариф</w:t>
      </w:r>
      <w:r>
        <w:rPr>
          <w:rFonts w:ascii="Arial" w:cs="Arial" w:eastAsia="Arial" w:hAnsi="Arial"/>
          <w:sz w:val="24"/>
          <w:szCs w:val="24"/>
        </w:rPr>
        <w:t xml:space="preserve"> – это тариф, утвержденный государственным уполномоченным органом в области регулирования тарифов и лицензий (Регулятор) на лимитируемый период;</w:t>
      </w:r>
    </w:p>
    <w:p>
      <w:pPr>
        <w:spacing w:after="120"/>
        <w:ind w:firstLine="709"/>
        <w:jc w:val="both"/>
      </w:pPr>
      <w:r>
        <w:rPr>
          <w:rFonts w:ascii="Arial" w:cs="Arial" w:eastAsia="Arial" w:hAnsi="Arial"/>
          <w:b/>
          <w:bCs/>
          <w:sz w:val="24"/>
          <w:szCs w:val="24"/>
        </w:rPr>
        <w:t xml:space="preserve">Ненормальный режим работы </w:t>
      </w:r>
      <w:r>
        <w:rPr>
          <w:rFonts w:ascii="Arial" w:cs="Arial" w:eastAsia="Arial" w:hAnsi="Arial"/>
          <w:sz w:val="24"/>
          <w:szCs w:val="24"/>
        </w:rPr>
        <w:t xml:space="preserve">–</w:t>
      </w:r>
      <w:r>
        <w:rPr>
          <w:rFonts w:ascii="Arial" w:cs="Arial" w:eastAsia="Arial" w:hAnsi="Arial"/>
          <w:sz w:val="24"/>
          <w:szCs w:val="24"/>
        </w:rPr>
        <w:t xml:space="preserve">режим работы электротехнического изделия (электротехнического устройства, электрооборудования), при котором значение хотя бы одного из параметров режима выходит за пределы наибольшего или наименьшего допустимого рабочего значения.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ОБЩИЕ ТРЕБОВАНИЯ ПО ФОРМИРОВАНИЮ ЛИМИТОВ ПОТРЕБЛЕНИЯ ЭНЕРГОНОСИТЕЛЕЙ</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3.1. Лимитированию (нормированию) подлежит весь расход электрической, тепловой энергии, природного газа и топлива, как для основного производственного процесса, так и для вспомогательных производств, например, работа ремонтных мастерских, водоснабжение, отопление, вентиляция, освещение и потери в энергетических внутрибазовских сетях и преобразователях.</w:t>
      </w:r>
    </w:p>
    <w:p>
      <w:pPr>
        <w:spacing w:after="120"/>
        <w:ind w:firstLine="720"/>
        <w:jc w:val="both"/>
      </w:pPr>
      <w:r>
        <w:rPr>
          <w:rFonts w:ascii="Arial" w:cs="Arial" w:eastAsia="Arial" w:hAnsi="Arial"/>
          <w:sz w:val="24"/>
          <w:szCs w:val="24"/>
        </w:rPr>
        <w:t xml:space="preserve">3.2. Лимит является предельной величиной потребления энергоносителей, используемых на собственные нужды бюджетных организаций и устанавливаются в натуральном, либо в стоимостном выражении:</w:t>
      </w:r>
    </w:p>
    <w:p>
      <w:pPr>
        <w:spacing w:after="120"/>
        <w:ind w:firstLine="720"/>
        <w:jc w:val="both"/>
      </w:pPr>
      <w:r>
        <w:rPr>
          <w:rFonts w:ascii="Arial" w:cs="Arial" w:eastAsia="Arial" w:hAnsi="Arial"/>
          <w:sz w:val="24"/>
          <w:szCs w:val="24"/>
        </w:rPr>
        <w:t xml:space="preserve">- в натуральном выражении – лимит энергоносителей, необходимый для осуществления производственной деятельности бюджетных и муниципальных учреждений в соответствии с санитарно-гигиеническими требованиями. Расходы электроэнергии на собственное потребление бюджетных учреждений указываются в тысячах киловатт-часов (тыс.кВтч), теплоэнергии в гигакалориях (Гкал) , природного газа в тыс. куб. м ( тыс. м</w:t>
      </w:r>
      <w:r>
        <w:rPr>
          <w:rFonts w:ascii="Arial" w:cs="Arial" w:eastAsia="Arial" w:hAnsi="Arial"/>
          <w:sz w:val="24"/>
          <w:szCs w:val="24"/>
        </w:rPr>
        <w:t xml:space="preserve">3 </w:t>
      </w:r>
      <w:r>
        <w:rPr>
          <w:rFonts w:ascii="Arial" w:cs="Arial" w:eastAsia="Arial" w:hAnsi="Arial"/>
          <w:sz w:val="24"/>
          <w:szCs w:val="24"/>
        </w:rPr>
        <w:t xml:space="preserve">) соответственно;</w:t>
      </w:r>
    </w:p>
    <w:p>
      <w:pPr>
        <w:spacing w:after="120"/>
        <w:ind w:firstLine="720"/>
        <w:jc w:val="both"/>
      </w:pPr>
      <w:r>
        <w:rPr>
          <w:rFonts w:ascii="Arial" w:cs="Arial" w:eastAsia="Arial" w:hAnsi="Arial"/>
          <w:sz w:val="24"/>
          <w:szCs w:val="24"/>
        </w:rPr>
        <w:t xml:space="preserve">- в стоимостном выражении (тыс.сом) - стоимость лимитов энергоносителей в действующих на данный момент тарифах, утвержденных уполомоченным государственным органом (Регулятором). </w:t>
      </w:r>
    </w:p>
    <w:p>
      <w:pPr>
        <w:spacing w:after="120"/>
        <w:ind w:firstLine="720"/>
        <w:jc w:val="both"/>
      </w:pPr>
      <w:r>
        <w:rPr>
          <w:rFonts w:ascii="Arial" w:cs="Arial" w:eastAsia="Arial" w:hAnsi="Arial"/>
          <w:sz w:val="24"/>
          <w:szCs w:val="24"/>
        </w:rPr>
        <w:t xml:space="preserve">3.3. Лимиты потребления расходов электрической, тепловой энергии и природного газа устанавливаются раздельно, которые должны быть взаимоувязанными. Лимиты энергоносителей формируются для отдельно стоящего здания и сооружения каждого бюджетного учреждения применительно к конкретным условиям производства с учетом планируемых технических и организационных мероприятий по осуществлению своей производственной деятельности, влияющих на величину расхода энергоносителей.</w:t>
      </w:r>
    </w:p>
    <w:p>
      <w:pPr>
        <w:spacing w:after="120"/>
        <w:ind w:firstLine="720"/>
        <w:jc w:val="both"/>
      </w:pPr>
      <w:r>
        <w:rPr>
          <w:rFonts w:ascii="Arial" w:cs="Arial" w:eastAsia="Arial" w:hAnsi="Arial"/>
          <w:sz w:val="24"/>
          <w:szCs w:val="24"/>
        </w:rPr>
        <w:t xml:space="preserve">3.4. В лимит энергоносителей входит:</w:t>
      </w:r>
    </w:p>
    <w:p>
      <w:pPr>
        <w:spacing w:after="120"/>
        <w:ind w:firstLine="720"/>
        <w:jc w:val="both"/>
      </w:pPr>
      <w:r>
        <w:rPr>
          <w:rFonts w:ascii="Arial" w:cs="Arial" w:eastAsia="Arial" w:hAnsi="Arial"/>
          <w:sz w:val="24"/>
          <w:szCs w:val="24"/>
        </w:rPr>
        <w:t xml:space="preserve">- электрическая энергия, используемая на технологические и производственные нужды, отопление и горячее водоснабжение, пищеприготовление, освещение и другое токопринимающее оборудование (холодильники, кондиционеры, электроотопительные приборы, компьютеры и другие);</w:t>
      </w:r>
    </w:p>
    <w:p>
      <w:pPr>
        <w:spacing w:after="120"/>
        <w:ind w:firstLine="720"/>
        <w:jc w:val="both"/>
      </w:pPr>
      <w:r>
        <w:rPr>
          <w:rFonts w:ascii="Arial" w:cs="Arial" w:eastAsia="Arial" w:hAnsi="Arial"/>
          <w:sz w:val="24"/>
          <w:szCs w:val="24"/>
        </w:rPr>
        <w:t xml:space="preserve">- тепловая энергия, поставляемая теплоснабжающими организациями, а также локальными котельными, работающими на различных видах топлива (уголь, электроэнергия, природный газ, мазут и другое), другими тепловырабатывающими котельными агрегатами (печки-буржуйки, контромарки и др) и используемая на цели отопления и горячего водоснабжения;</w:t>
      </w:r>
    </w:p>
    <w:p>
      <w:pPr>
        <w:spacing w:after="120"/>
        <w:ind w:firstLine="720"/>
        <w:jc w:val="both"/>
      </w:pPr>
      <w:r>
        <w:rPr>
          <w:rFonts w:ascii="Arial" w:cs="Arial" w:eastAsia="Arial" w:hAnsi="Arial"/>
          <w:sz w:val="24"/>
          <w:szCs w:val="24"/>
        </w:rPr>
        <w:t xml:space="preserve">- природный газ, поставляемый газоснабжающей организацией и используемый на цели отопления, горячего водоснабжения и пищеприготовление.</w:t>
      </w:r>
    </w:p>
    <w:p>
      <w:pPr>
        <w:spacing w:after="120"/>
        <w:ind w:firstLine="720"/>
        <w:jc w:val="both"/>
      </w:pPr>
      <w:r>
        <w:rPr>
          <w:rFonts w:ascii="Arial" w:cs="Arial" w:eastAsia="Arial" w:hAnsi="Arial"/>
          <w:sz w:val="24"/>
          <w:szCs w:val="24"/>
        </w:rPr>
        <w:t xml:space="preserve">3.5. В лимиты тепловой, электрической энергии и природного газа не должны включаться нерациональные затраты и потери, вызванные отступлением от принятых режимов работы оборудования или неисправным состоянием его (пеня, штрафные санкции и др.). В лимиты расходов электрической, тепловой энергии и природного газа не включаются расходы энергоносителей небюджетных потребителей и других мероприятий, описанных во введении настоящей Методики.</w:t>
      </w:r>
    </w:p>
    <w:p>
      <w:pPr>
        <w:spacing w:after="120"/>
        <w:ind w:firstLine="720"/>
        <w:jc w:val="both"/>
      </w:pPr>
      <w:r>
        <w:rPr>
          <w:rFonts w:ascii="Arial" w:cs="Arial" w:eastAsia="Arial" w:hAnsi="Arial"/>
          <w:sz w:val="24"/>
          <w:szCs w:val="24"/>
        </w:rPr>
        <w:t xml:space="preserve">3.6. При определении потребности в энергоносителях и топливе на различные нужды необходимо руководствоваться проектными, паспортными данными и показаниями, полученными в результате наладочных испытаний оборудования. При отсутствии таких данных необходимо осуществлять расчет энергоносителей и топлива на основании формул и нормативных данных, указанными в настоящей Методики.</w:t>
      </w:r>
    </w:p>
    <w:p>
      <w:pPr>
        <w:spacing w:after="120"/>
        <w:ind w:firstLine="720"/>
        <w:jc w:val="both"/>
      </w:pPr>
      <w:r>
        <w:rPr>
          <w:rFonts w:ascii="Arial" w:cs="Arial" w:eastAsia="Arial" w:hAnsi="Arial"/>
          <w:sz w:val="24"/>
          <w:szCs w:val="24"/>
        </w:rPr>
        <w:t xml:space="preserve">3.7. Лимиты энергоносителей не могут быть изменены, если выявленный эксплуатационными испытаниями перерасход энергоносителей и топлива обусловлен ненормальным режимом работы или не исправным состоянием оборудования. При изменении режима эксплуатации или рабочих параметров оборудования, поправка на которые не предусмотрена, допускается корректировка нормы на основании результатов испытаний при вновь установленных режимах работы и параметрах. Корректировка и изменение норм согласовываются с уполномоченными государственными органами и государственным научным учреждением Кыргызской Республики.</w:t>
      </w:r>
    </w:p>
    <w:p>
      <w:pPr>
        <w:spacing w:after="120"/>
        <w:ind w:firstLine="720"/>
        <w:jc w:val="both"/>
      </w:pPr>
      <w:r>
        <w:rPr>
          <w:rFonts w:ascii="Arial" w:cs="Arial" w:eastAsia="Arial" w:hAnsi="Arial"/>
          <w:sz w:val="24"/>
          <w:szCs w:val="24"/>
        </w:rPr>
        <w:t xml:space="preserve">3.8. Установление сверхлимитного потребления энергоносителей, превышающего уровень прошлого года, возможен в случае роста потребления ресурсов в натуральном выражении по объективным причинам и/или изменения режима потребления (ввод в эксплуатацию законченных строительством или после реконструкции зданий и сооружений, передача на баланс дополнительных объектов, увеличение площади занимаемых помещений, численности персонала, установки дополнительного энергопотребляющего оборудования и т.д.). Сверхлимитное потребление ТЭР согласовывается с уполномоченными государственными органами и утверждается на основе достоверных величин потребления энергоносителей.</w:t>
      </w:r>
    </w:p>
    <w:p>
      <w:pPr>
        <w:spacing w:after="120"/>
        <w:ind w:firstLine="720"/>
        <w:jc w:val="both"/>
      </w:pPr>
      <w:r>
        <w:rPr>
          <w:rFonts w:ascii="Arial" w:cs="Arial" w:eastAsia="Arial" w:hAnsi="Arial"/>
          <w:sz w:val="24"/>
          <w:szCs w:val="24"/>
        </w:rPr>
        <w:t xml:space="preserve">3.9. Лимиты потребления энергоносителей (электрическая, тепловая энергия и природный газ) для бюджетных организаций устанавливается раздельно по видам энергоносителей на последующие годы на основе достоверных величин энергоносителей, полученных в ходе энергетического обследования и утверждаются в целом для организации и в разрезе территориальных областных филиалов энергоснабжающих (например: Бишкекский ПЭС, Чуйский ПЭС, Таласский ПЭС, Иссык-Кульский ПЭС, Нарынский ПЭС, Ошский ПЭС, Баткенский ПЭС, Джалал-Абадский ПЭС, а также теплоснабжающих и газоснабжающих организаций.</w:t>
      </w:r>
    </w:p>
    <w:p>
      <w:pPr>
        <w:spacing w:after="120"/>
        <w:ind w:firstLine="720"/>
        <w:jc w:val="both"/>
      </w:pPr>
      <w:r>
        <w:rPr>
          <w:rFonts w:ascii="Arial" w:cs="Arial" w:eastAsia="Arial" w:hAnsi="Arial"/>
          <w:sz w:val="24"/>
          <w:szCs w:val="24"/>
        </w:rPr>
        <w:t xml:space="preserve">3.10. Лимиты должны устанавливаться с учетом соблюдения необходимых санитарно - гигиенических норм, рационального и эффективного их использования, исходя из соблюдения технологического процесса производства товаров, работ, оказания услуг, предусмотренных при осуществлении своей производственной деятельности.</w:t>
      </w:r>
    </w:p>
    <w:p>
      <w:pPr>
        <w:spacing w:after="120"/>
        <w:ind w:firstLine="720"/>
        <w:jc w:val="both"/>
      </w:pPr>
      <w:r>
        <w:rPr>
          <w:rFonts w:ascii="Arial" w:cs="Arial" w:eastAsia="Arial" w:hAnsi="Arial"/>
          <w:sz w:val="24"/>
          <w:szCs w:val="24"/>
        </w:rPr>
        <w:t xml:space="preserve">3.11. При планировании мероприятий по энергосбережению, рассчитанные исходя из вышеперечисленных требований, объемы энергопотребления должны быть уменьшены на величину снижения энергопотребления за счет мероприятий по энергосбережению.</w:t>
      </w:r>
    </w:p>
    <w:p>
      <w:pPr>
        <w:spacing w:after="120"/>
        <w:ind w:firstLine="720"/>
        <w:jc w:val="both"/>
      </w:pPr>
      <w:r>
        <w:rPr>
          <w:rFonts w:ascii="Arial" w:cs="Arial" w:eastAsia="Arial" w:hAnsi="Arial"/>
          <w:sz w:val="24"/>
          <w:szCs w:val="24"/>
        </w:rPr>
        <w:t xml:space="preserve">3.12. Достоверные величины лимитов потребления электрической, тепловой энергии и природного газа рассчитываются на основе статистических фактических данных расходов энергопотребления за ряд предшествующих лет (чем большее количество лет, тем лучше) за вычетом фактических данных расходов энергопотребления арендаторов-субабонентов, размещенных в зданиях и помещениях бюджетной организации и других данных расходов электрической, тепловой энергии и природного газа, которые на включаются в лимиты расходов энергоносителей, определенных настоящей Методикой.</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КОМПЕТЕНЦИЯ УПОЛНОМОЧЕННЫХ ГОСУДАРСТВЕННЫХ ОРГАНОВ, БЮДЖЕТНЫХ ОРГАНИЗАЦИЙ И ПОСТАВЩИКОВ ЭНЕРГОНОСИТЕЛЕЙ ПРИ ФОРМИРОВАНИИ ЛИМИТОВ ПОТРЕБЛЕНИЯ ЭНЕРГОНОСИТЕЛЕЙ</w:t>
      </w:r>
    </w:p>
    <w:p>
      <w:pPr>
        <w:spacing w:after="120"/>
        <w:ind w:firstLine="36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Настоящая Методика устанавливает компетенцию, права и обязанности уполномоченных государственных органов, органов местного самоуправления, государственных научных учреждений, бюджетных организаций и их структурных подразделений, поставщиков электрической, тепловой энергии и природного газа при формировании лимитов потребления энергоносителей.</w:t>
      </w:r>
    </w:p>
    <w:p>
      <w:pPr>
        <w:spacing w:after="120"/>
        <w:ind w:firstLine="567"/>
        <w:jc w:val="both"/>
      </w:pPr>
      <w:r>
        <w:rPr>
          <w:rFonts w:ascii="Arial" w:cs="Arial" w:eastAsia="Arial" w:hAnsi="Arial"/>
          <w:b/>
          <w:bCs/>
          <w:sz w:val="24"/>
          <w:szCs w:val="24"/>
        </w:rPr>
        <w:t xml:space="preserve">4.1. Министерство энергетики Кыргызской Республики,</w:t>
      </w:r>
      <w:r>
        <w:rPr>
          <w:rFonts w:ascii="Arial" w:cs="Arial" w:eastAsia="Arial" w:hAnsi="Arial"/>
          <w:sz w:val="24"/>
          <w:szCs w:val="24"/>
        </w:rPr>
        <w:t xml:space="preserve"> уполномоченный государственный орган в области энергетики:</w:t>
      </w:r>
    </w:p>
    <w:p>
      <w:pPr>
        <w:spacing w:after="120"/>
        <w:ind w:firstLine="567"/>
        <w:jc w:val="both"/>
      </w:pPr>
      <w:r>
        <w:rPr>
          <w:rFonts w:ascii="Arial" w:cs="Arial" w:eastAsia="Arial" w:hAnsi="Arial"/>
          <w:sz w:val="24"/>
          <w:szCs w:val="24"/>
        </w:rPr>
        <w:t xml:space="preserve">- осуществляет государственную политику в области энергетики, энергосбережения и установления лимитов электрической энергии по регионам;</w:t>
      </w:r>
    </w:p>
    <w:p>
      <w:pPr>
        <w:spacing w:after="120"/>
        <w:ind w:firstLine="567"/>
        <w:jc w:val="both"/>
      </w:pPr>
      <w:r>
        <w:rPr>
          <w:rFonts w:ascii="Arial" w:cs="Arial" w:eastAsia="Arial" w:hAnsi="Arial"/>
          <w:sz w:val="24"/>
          <w:szCs w:val="24"/>
        </w:rPr>
        <w:t xml:space="preserve">- совместно с Министерством финансов Кыргызской Республики утверждает лимиты электрической, тепловой энергии и природного газа для бюджетных организаций на основе достоверных величин лимитов потребления электрической, тепловой энергии и природного газа, при необходимости твердого топлива (угля), полученных в ходе энергетического обследования Научно-исследовательского института энергетики (НИИЭ);</w:t>
      </w:r>
    </w:p>
    <w:p>
      <w:pPr>
        <w:spacing w:after="120"/>
        <w:ind w:firstLine="567"/>
        <w:jc w:val="both"/>
      </w:pPr>
      <w:r>
        <w:rPr>
          <w:rFonts w:ascii="Arial" w:cs="Arial" w:eastAsia="Arial" w:hAnsi="Arial"/>
          <w:sz w:val="24"/>
          <w:szCs w:val="24"/>
        </w:rPr>
        <w:t xml:space="preserve">- осуществляет корректировку лимитов электрической, тепловой энергии и природного газа для бюджетных организаций;</w:t>
      </w:r>
    </w:p>
    <w:p>
      <w:pPr>
        <w:spacing w:after="120"/>
        <w:ind w:firstLine="567"/>
        <w:jc w:val="both"/>
      </w:pPr>
      <w:r>
        <w:rPr>
          <w:rFonts w:ascii="Arial" w:cs="Arial" w:eastAsia="Arial" w:hAnsi="Arial"/>
          <w:sz w:val="24"/>
          <w:szCs w:val="24"/>
        </w:rPr>
        <w:t xml:space="preserve">- оказывает содействие Научно-исследовательскому институту энергетики получать необходимую информацию у поставщиков электрической, тепловой энергии и природного газа и других учреждений, регулируемых Министерством энергетики КР при проведении энергоаудита с целью определения достоверных величин лимитов потребления энергоносителей;</w:t>
      </w:r>
    </w:p>
    <w:p>
      <w:pPr>
        <w:spacing w:after="120"/>
        <w:ind w:firstLine="567"/>
        <w:jc w:val="both"/>
      </w:pPr>
      <w:r>
        <w:rPr>
          <w:rFonts w:ascii="Arial" w:cs="Arial" w:eastAsia="Arial" w:hAnsi="Arial"/>
          <w:sz w:val="24"/>
          <w:szCs w:val="24"/>
        </w:rPr>
        <w:t xml:space="preserve">- осуществляет контроль за исполнением настоящей Методики.</w:t>
      </w:r>
    </w:p>
    <w:p>
      <w:pPr>
        <w:spacing w:after="120"/>
        <w:ind w:firstLine="720"/>
        <w:jc w:val="both"/>
      </w:pPr>
      <w:r>
        <w:rPr>
          <w:rFonts w:ascii="Arial" w:cs="Arial" w:eastAsia="Arial" w:hAnsi="Arial"/>
          <w:b/>
          <w:bCs/>
          <w:sz w:val="24"/>
          <w:szCs w:val="24"/>
        </w:rPr>
        <w:t xml:space="preserve">4.2. Министерство финансов Кыргызской Республики</w:t>
      </w:r>
      <w:r>
        <w:rPr>
          <w:rFonts w:ascii="Arial" w:cs="Arial" w:eastAsia="Arial" w:hAnsi="Arial"/>
          <w:sz w:val="24"/>
          <w:szCs w:val="24"/>
        </w:rPr>
        <w:t xml:space="preserve">:</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совместно с Министерством энергетики Кыргызской Республики утверждает лимиты электрической, тепловой энергии и природного газа для бюджетных организаций на основе достоверных величин лимитов потребления электрической, тепловой энергии и природного газа, полученных Научно-исследовательским институтом энергетики (НИИЭ) в ходе энергетического обследования;</w:t>
      </w:r>
    </w:p>
    <w:p>
      <w:pPr>
        <w:spacing w:after="120"/>
        <w:ind w:firstLine="720"/>
        <w:jc w:val="both"/>
      </w:pPr>
      <w:r>
        <w:rPr>
          <w:rFonts w:ascii="Arial" w:cs="Arial" w:eastAsia="Arial" w:hAnsi="Arial"/>
          <w:b/>
          <w:bCs/>
          <w:sz w:val="24"/>
          <w:szCs w:val="24"/>
        </w:rPr>
        <w:t xml:space="preserve">4.3. Научно-исследовательский институт энергетики при</w:t>
      </w:r>
      <w:r>
        <w:rPr>
          <w:rFonts w:ascii="Arial" w:cs="Arial" w:eastAsia="Arial" w:hAnsi="Arial"/>
          <w:b/>
          <w:bCs/>
          <w:sz w:val="24"/>
          <w:szCs w:val="24"/>
        </w:rPr>
        <w:t xml:space="preserve">Министерстве энергетики КР (НИИЭ</w:t>
      </w:r>
      <w:r>
        <w:rPr>
          <w:rFonts w:ascii="Arial" w:cs="Arial" w:eastAsia="Arial" w:hAnsi="Arial"/>
          <w:sz w:val="24"/>
          <w:szCs w:val="24"/>
        </w:rPr>
        <w:t xml:space="preserve">) – научное государственное учреждение в соответствии с действующим Положением НИИЭ и делегируемыми полномочиями Кабинета Министров Кыргызской Республики (распоряжения, постановления и другими поручениями) имеет право осуществлять энергетическое обследование и мониторинг бюджетных организаций с целью определения достоверных величин лимитов потребления электрической, тепловой энергии и природного газа на последующие годы.</w:t>
      </w:r>
    </w:p>
    <w:p>
      <w:pPr>
        <w:spacing w:after="120"/>
        <w:ind w:firstLine="720"/>
        <w:jc w:val="both"/>
      </w:pPr>
      <w:r>
        <w:rPr>
          <w:rFonts w:ascii="Arial" w:cs="Arial" w:eastAsia="Arial" w:hAnsi="Arial"/>
          <w:sz w:val="24"/>
          <w:szCs w:val="24"/>
        </w:rPr>
        <w:t xml:space="preserve">Проведение дополнительного энергетического обследования бюджетных организаций должно выполняться, в соответствии с запросами и поручениями Кабинета Министра Кыргызской Республики, уполномоченными государственными органами в сфере энергетики и финансов и бюджетных организаций.</w:t>
      </w:r>
    </w:p>
    <w:p>
      <w:pPr>
        <w:spacing w:after="120"/>
        <w:ind w:firstLine="720"/>
        <w:jc w:val="both"/>
      </w:pPr>
      <w:r>
        <w:rPr>
          <w:rFonts w:ascii="Arial" w:cs="Arial" w:eastAsia="Arial" w:hAnsi="Arial"/>
          <w:sz w:val="24"/>
          <w:szCs w:val="24"/>
        </w:rPr>
        <w:t xml:space="preserve">НИИЭ имеет право:</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проводить энергоаудит в бюджетных организациях, финансируемых полностью или частично из республиканского и местного бюджетов, физических и юридических лиц, независимо от организационно-правовой формы собственности, размещенных и арендуемых зданиях, сооружениях и площади в государственных административных и ведомственных зданиях (субабоненты- арендаторы), дома офицерского состава, общежития и другие здания, находящихся на балансе бюджетных организаций;</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на беспрепятственный доступ и допуск на территорию бюджетных организаций и его структурных подразделений;</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получать своевременно и в полной мере от Поставщиков энергоносителей (энергоснабжающие организации) и Потребителей (бюджетные организации) необходимую нормативную правовую (Контракты на поставку энергоносителей с приложениями и соответствующими расчетами,включая подбор трансформаторов тока, технические условия на подключение, Акты балансовой принадлежности, схемы энергоснабжения и др), финансовую документацию (счета-фактуры на оплату, включая ведомости расхода энергоносителей по точкам подключения и др.), схемы электро-, тепло- и газоснабжения (внутренние и наружные), технические и энергетические паспорта зданий, другую документацию, необходимую для осуществления поставленной цели;</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определять достоверные величины лимитов потребления электрической, тепловой энергии и природного газа, при необходимости твердого топлива (угля), полученных в ходе энергетического обследования;</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повторного выполнения работ по энергетическому аудиту бюджетных организаций с целью уточнения ранее полученных данных, а при необходимости составлению энергетического паспорта для бюджетных организаций; </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проводить курсы по обучению руководителей, ответственных лиц (главных бухгалтеров, энергоменеджеров и других сотрудников) вопросам энергетического обследования, заполнения Анкеты по энергоаудиту, формирования лимитов потребления электрической, тепловой энергии и природного газа, включая топливо (уголь), включая разработку мер по рациональному и эффективному использованию энергоносителей и бюджетных средств за счет средств бюджетных организаций;</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взаимодействовать с государственными уполномоченными надзорными органами с целью осуществления надзора и мониторинга за потреблением энергоносителей бюджетными организациями;</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ведения единого государственного энергетического реестра бюджетных организаций с целью сбора, обработки, систематизации, анализа и мониторинга данных лимитов и фактического потребления электрической, тепловой энергии и природного газа.</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проведения научно-исследовательской работы по энергетическому обследованию, разработки методической, руководящей документации, программ по энергосбережению и энергоэффективности для бюджетных организаций за счет средств республиканского бюджета, выделяемого Министерством финансов Кыргызской Республики, а в случаях повторного энергетического обследовании за счет средств бюджетных и других организаций;</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анализировать представленные организациями технические и технологические документы на здание и сооружения;</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проводить обследование наружных ограждений зданий и сооружений, электрических, теплотехнических, инженерно-технологических систем (внутренние и наружные) и оборудования, находящихся на балансе бюджетных организаций, включая автономные источники энергии;</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оказывать содействие бюджетным организациям и их структурным подразделениям в заполнении формы Анкеты по энергоаудиту;</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составлять отчет в форме и объеме, соответствующем целям проведения энергетического аудита;</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осуществлять мониторинг лимитов и фактического потребления энергоносителей, а также устранении нарушений, выявленных в ходе энергетического обследования;</w:t>
      </w:r>
    </w:p>
    <w:p>
      <w:pPr>
        <w:spacing w:after="120"/>
        <w:ind w:firstLine="720"/>
        <w:jc w:val="both"/>
      </w:pPr>
      <w:r>
        <w:rPr>
          <w:rFonts w:ascii="Arial" w:cs="Arial" w:eastAsia="Arial" w:hAnsi="Arial"/>
          <w:sz w:val="24"/>
          <w:szCs w:val="24"/>
        </w:rPr>
        <w:t xml:space="preserve">- рассматривать предоставленные бюджетными организациями расчеты потребности в электрической, тепловой энергии и природном газе на предстоящий год;</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оформлять энергетические паспорта и по согласованию с уполномоченным государственным органом в сфере энергетики разрабатывать и оформлять энергетические сертификаты зданий и сооружений для бюджетных организаций;</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другие права и функции, не противоречащие действующему Положению НИИЭ.</w:t>
      </w:r>
    </w:p>
    <w:p>
      <w:pPr>
        <w:spacing w:after="120"/>
        <w:ind w:firstLine="720"/>
        <w:jc w:val="both"/>
      </w:pPr>
      <w:r>
        <w:rPr>
          <w:rFonts w:ascii="Arial" w:cs="Arial" w:eastAsia="Arial" w:hAnsi="Arial"/>
          <w:b/>
          <w:bCs/>
          <w:sz w:val="24"/>
          <w:szCs w:val="24"/>
        </w:rPr>
        <w:t xml:space="preserve">4.4. Потребители и Поставщики электрической, тепловой энергии и природного газа</w:t>
      </w:r>
      <w:r>
        <w:rPr>
          <w:rFonts w:ascii="Arial" w:cs="Arial" w:eastAsia="Arial" w:hAnsi="Arial"/>
          <w:b/>
          <w:bCs/>
          <w:sz w:val="24"/>
          <w:szCs w:val="24"/>
        </w:rPr>
        <w:t xml:space="preserve">:</w:t>
      </w:r>
    </w:p>
    <w:p>
      <w:pPr>
        <w:spacing w:after="120"/>
        <w:ind w:firstLine="720"/>
        <w:jc w:val="both"/>
      </w:pPr>
      <w:r>
        <w:rPr>
          <w:rFonts w:ascii="Arial" w:cs="Arial" w:eastAsia="Arial" w:hAnsi="Arial"/>
          <w:sz w:val="24"/>
          <w:szCs w:val="24"/>
        </w:rPr>
        <w:t xml:space="preserve">К потребителям электрической, тепловой энергии и природного газа относятся бюджетные организации, финансируемые из республиканского и местного бюджетов, к которым относятся полномочные представители Президента КР, министерства, государственные комитеты, административные ведомства, государственные комиссии, местные государственные администрации, включая города районного значения, айыльные аймаки, органы местного самоуправления, наделенные правами юридических лиц и их структурные подразделения, а также организации, финансируемые полностью и (или) частично из республиканского и местного бюджетов и небюджетные организации (субабоненты – арендаторы), размещенные в зданиях и на территории бюджетной организации и получающие энергоносители через сети бюджетных организаций.</w:t>
      </w:r>
    </w:p>
    <w:p>
      <w:pPr>
        <w:spacing w:after="120"/>
        <w:ind w:firstLine="720"/>
        <w:jc w:val="both"/>
      </w:pPr>
      <w:r>
        <w:rPr>
          <w:rFonts w:ascii="Arial" w:cs="Arial" w:eastAsia="Arial" w:hAnsi="Arial"/>
          <w:b/>
          <w:bCs/>
          <w:sz w:val="24"/>
          <w:szCs w:val="24"/>
        </w:rPr>
        <w:t xml:space="preserve">Потребитель (бюджетная организация и их структурные подразделения) обязан:</w:t>
      </w:r>
    </w:p>
    <w:p>
      <w:pPr>
        <w:spacing w:after="120"/>
        <w:ind w:firstLine="720"/>
        <w:jc w:val="both"/>
      </w:pPr>
      <w:r>
        <w:rPr>
          <w:rFonts w:ascii="Arial" w:cs="Arial" w:eastAsia="Arial" w:hAnsi="Arial"/>
          <w:sz w:val="24"/>
          <w:szCs w:val="24"/>
        </w:rPr>
        <w:t xml:space="preserve">- назначить на постоянной основе энергоменеджеров из руководящего состава бюджетной организации и в структурных подразделениях (главный бухгалтер, заместитель руководителя, главный инженер или главный энергетик), ответственных за соблюдением утвержденных лимитов энергоносителей, а также за эффективное и рациональное использование энергоносителей и бюджетных средств, выделяемых на коммунальные услуги из республиканского бюджета;</w:t>
      </w:r>
    </w:p>
    <w:p>
      <w:pPr>
        <w:spacing w:after="120"/>
        <w:ind w:firstLine="720"/>
        <w:jc w:val="both"/>
      </w:pPr>
      <w:r>
        <w:rPr>
          <w:rFonts w:ascii="Arial" w:cs="Arial" w:eastAsia="Arial" w:hAnsi="Arial"/>
          <w:sz w:val="24"/>
          <w:szCs w:val="24"/>
        </w:rPr>
        <w:t xml:space="preserve">- предоставлять достоверную информацию в уполномоченные государственные органы в сфере энергетики и финансов, а также в государственное научное учреждение (НИИЭ), осуществляющее энергетическое обследование бюджетных организаций и их структурных подразделений, перечень бюджетных организаций и их подведомственных структурных подразделений с целью включения их в государственный реестр бюджетных организаций, финансируемых из республикаснского и местного бюджетов республики;</w:t>
      </w:r>
    </w:p>
    <w:p>
      <w:pPr>
        <w:spacing w:after="120"/>
        <w:ind w:firstLine="720"/>
        <w:jc w:val="both"/>
      </w:pPr>
      <w:r>
        <w:rPr>
          <w:rFonts w:ascii="Arial" w:cs="Arial" w:eastAsia="Arial" w:hAnsi="Arial"/>
          <w:sz w:val="24"/>
          <w:szCs w:val="24"/>
        </w:rPr>
        <w:t xml:space="preserve">- предоставлять достоверную информацию о наличии небюджетных организаций (субабонетов- арендаторов), размещенных в зданиях и на территории бюджетных организаций и получающих энергоносители через сети бюджетной организации с соответствующими нормативными правовыми актами;</w:t>
      </w:r>
    </w:p>
    <w:p>
      <w:pPr>
        <w:spacing w:after="120"/>
        <w:ind w:firstLine="720"/>
        <w:jc w:val="both"/>
      </w:pPr>
      <w:r>
        <w:rPr>
          <w:rFonts w:ascii="Arial" w:cs="Arial" w:eastAsia="Arial" w:hAnsi="Arial"/>
          <w:sz w:val="24"/>
          <w:szCs w:val="24"/>
        </w:rPr>
        <w:t xml:space="preserve">- предоставить в ходе энергоаудита проектную документацию на отдельно стоящее здание и сооружение, технические паспорта на оборудование систем энергоснабжения, включая источники тепловой энергии, показания приборов учета тепловой и электрической энергии (для зданий, находящихся в эксплуатации), счета за использованную энергию и ТЭР (для зданий, находящихся в эксплуатации);</w:t>
      </w:r>
    </w:p>
    <w:p>
      <w:pPr>
        <w:spacing w:after="120"/>
        <w:ind w:firstLine="720"/>
        <w:jc w:val="both"/>
      </w:pPr>
      <w:r>
        <w:rPr>
          <w:rFonts w:ascii="Arial" w:cs="Arial" w:eastAsia="Arial" w:hAnsi="Arial"/>
          <w:sz w:val="24"/>
          <w:szCs w:val="24"/>
        </w:rPr>
        <w:t xml:space="preserve">- обеспечить собственный персонал для сопровождения и помощи в проведении обследований и доступ к обследуемым объектам;</w:t>
      </w:r>
    </w:p>
    <w:p>
      <w:pPr>
        <w:spacing w:after="120"/>
        <w:ind w:firstLine="720"/>
        <w:jc w:val="both"/>
      </w:pPr>
      <w:r>
        <w:rPr>
          <w:rFonts w:ascii="Arial" w:cs="Arial" w:eastAsia="Arial" w:hAnsi="Arial"/>
          <w:sz w:val="24"/>
          <w:szCs w:val="24"/>
        </w:rPr>
        <w:t xml:space="preserve">- заполнить и предоставить в НИИЭ Анкету по энергоаудиту, оформленную согласно типовой формы, порядок заполнения которой указан в разделе 7 настоящей Методики в разрезе каждого подведомственного структурного подразделения и в целом по бюджетной организации с соответствующими обосновывающими документами;</w:t>
      </w:r>
    </w:p>
    <w:p>
      <w:pPr>
        <w:spacing w:after="120"/>
        <w:ind w:firstLine="720"/>
        <w:jc w:val="both"/>
      </w:pPr>
      <w:r>
        <w:rPr>
          <w:rFonts w:ascii="Arial" w:cs="Arial" w:eastAsia="Arial" w:hAnsi="Arial"/>
          <w:sz w:val="24"/>
          <w:szCs w:val="24"/>
        </w:rPr>
        <w:t xml:space="preserve">- предоставить нормативную правовую (Контракты на поставку энергоносителей с приложениями и соответствующими расчетами, технические условия на подключение, Акты балансовой принадлежности, схемы энергоснабжения и др), финансовую документацию (счета-фактуры на оплату, включая ведомости расхода энергоносителей по точкам подключения и др.), схемы электро-, тепло- и газоснабжения (внутренние и наружные), технические и энергетические паспорта зданий, другую документацию, необходимую для утверждения лимитов потребления электрической, тепловой энергии и природного газа;</w:t>
      </w:r>
    </w:p>
    <w:p>
      <w:pPr>
        <w:spacing w:after="120"/>
        <w:ind w:firstLine="720"/>
        <w:jc w:val="both"/>
      </w:pPr>
      <w:r>
        <w:rPr>
          <w:rFonts w:ascii="Arial" w:cs="Arial" w:eastAsia="Arial" w:hAnsi="Arial"/>
          <w:sz w:val="24"/>
          <w:szCs w:val="24"/>
        </w:rPr>
        <w:t xml:space="preserve">- обеспечить ежегодное распределение установленных лимитов потребления электрической, тепловой энергии и природного газа и доводить их до структурных подразделений;</w:t>
      </w:r>
    </w:p>
    <w:p>
      <w:pPr>
        <w:spacing w:after="120"/>
        <w:ind w:firstLine="720"/>
        <w:jc w:val="both"/>
      </w:pPr>
      <w:r>
        <w:rPr>
          <w:rFonts w:ascii="Arial" w:cs="Arial" w:eastAsia="Arial" w:hAnsi="Arial"/>
          <w:sz w:val="24"/>
          <w:szCs w:val="24"/>
        </w:rPr>
        <w:t xml:space="preserve">- обеспечить и довести до сведения структурных подведомственных подразделений настоящую Методику в качестве руководящего документа при формировании лимитов потребности в электрической, тепловой энергии, природного газа и топлива;</w:t>
      </w:r>
    </w:p>
    <w:p>
      <w:pPr>
        <w:spacing w:after="120"/>
        <w:ind w:firstLine="720"/>
        <w:jc w:val="both"/>
      </w:pPr>
      <w:r>
        <w:rPr>
          <w:rFonts w:ascii="Arial" w:cs="Arial" w:eastAsia="Arial" w:hAnsi="Arial"/>
          <w:sz w:val="24"/>
          <w:szCs w:val="24"/>
        </w:rPr>
        <w:t xml:space="preserve">- не допускать сверхлимитного потребления электрической, тепловой энергии и природного газа, установленного государственными уполномоченными органами;</w:t>
      </w:r>
    </w:p>
    <w:p>
      <w:pPr>
        <w:spacing w:after="120"/>
        <w:ind w:firstLine="720"/>
        <w:jc w:val="both"/>
      </w:pPr>
      <w:r>
        <w:rPr>
          <w:rFonts w:ascii="Arial" w:cs="Arial" w:eastAsia="Arial" w:hAnsi="Arial"/>
          <w:sz w:val="24"/>
          <w:szCs w:val="24"/>
        </w:rPr>
        <w:t xml:space="preserve">- осуществляют контроль за соблюдением установленного лимита потребления электрической, тепловой энергии и природного газа и принимать меры, исключающие сверхлимитное потребление энергоносителей ;</w:t>
      </w:r>
    </w:p>
    <w:p>
      <w:pPr>
        <w:spacing w:after="120"/>
        <w:ind w:firstLine="720"/>
        <w:jc w:val="both"/>
      </w:pPr>
      <w:r>
        <w:rPr>
          <w:rFonts w:ascii="Arial" w:cs="Arial" w:eastAsia="Arial" w:hAnsi="Arial"/>
          <w:sz w:val="24"/>
          <w:szCs w:val="24"/>
        </w:rPr>
        <w:t xml:space="preserve">- совместно с руководителями подведомственных структур нести ответственность за сверхлимитное потребление энергоносителей и предоставление недостоверной информации данных Анкеты по энергоаудиту, другой необходимой документации;</w:t>
      </w:r>
    </w:p>
    <w:p>
      <w:pPr>
        <w:spacing w:after="120"/>
        <w:ind w:firstLine="720"/>
        <w:jc w:val="both"/>
      </w:pPr>
      <w:r>
        <w:rPr>
          <w:rFonts w:ascii="Arial" w:cs="Arial" w:eastAsia="Arial" w:hAnsi="Arial"/>
          <w:sz w:val="24"/>
          <w:szCs w:val="24"/>
        </w:rPr>
        <w:t xml:space="preserve">- ежегодно на постоянной основе представлять в научное учреждение отчеты о фактическом ежемесячном потреблении энергоносителей, где отдельной строкой указываются объем потребления энергии физических и юридических лиц, независимо от формы собственности, арендующие и размещенные в зданиях и помещениях бюджетных организаций;</w:t>
      </w:r>
    </w:p>
    <w:p>
      <w:pPr>
        <w:spacing w:after="120"/>
        <w:ind w:firstLine="720"/>
        <w:jc w:val="both"/>
      </w:pPr>
      <w:r>
        <w:rPr>
          <w:rFonts w:ascii="Arial" w:cs="Arial" w:eastAsia="Arial" w:hAnsi="Arial"/>
          <w:sz w:val="24"/>
          <w:szCs w:val="24"/>
        </w:rPr>
        <w:t xml:space="preserve">- вести раздельный учет лимитируемых энергоносителей, осуществляющих оплату за счет бюджетных средств и средств специального счета, разрешенного государственным уполномоченным органом с целью оказания услуг по основной деятельности на платной основе, включая учет энергоносителей небюджетными потребителями (субабонентами), размещенными в зданиях бюджетной организации.</w:t>
      </w:r>
    </w:p>
    <w:p>
      <w:pPr>
        <w:spacing w:after="120"/>
        <w:ind w:firstLine="720"/>
        <w:jc w:val="both"/>
      </w:pPr>
      <w:r>
        <w:rPr>
          <w:rFonts w:ascii="Arial" w:cs="Arial" w:eastAsia="Arial" w:hAnsi="Arial"/>
          <w:b/>
          <w:bCs/>
          <w:sz w:val="24"/>
          <w:szCs w:val="24"/>
        </w:rPr>
        <w:t xml:space="preserve">Поставщики </w:t>
      </w:r>
      <w:r>
        <w:rPr>
          <w:rFonts w:ascii="Arial" w:cs="Arial" w:eastAsia="Arial" w:hAnsi="Arial"/>
          <w:sz w:val="24"/>
          <w:szCs w:val="24"/>
        </w:rPr>
        <w:t xml:space="preserve">(энергоснабжающая организация) электрической, тепловой энергии и природного газа, независимо от формы собственности, осуществляют отпуск электрической, тепловой энергии и природного газа бюджетным организациям и их подведомственным структурным подразделениям, субабонентам - арендаторам и другим небюджетным организациям, размещенных в зданиях на территории бюджетных организаций, которые получают энергоносители через сети бюджетных организаций.</w:t>
      </w:r>
    </w:p>
    <w:p>
      <w:pPr>
        <w:spacing w:after="120"/>
        <w:ind w:firstLine="720"/>
        <w:jc w:val="both"/>
      </w:pPr>
      <w:r>
        <w:rPr>
          <w:rFonts w:ascii="Arial" w:cs="Arial" w:eastAsia="Arial" w:hAnsi="Arial"/>
          <w:b/>
          <w:bCs/>
          <w:sz w:val="24"/>
          <w:szCs w:val="24"/>
        </w:rPr>
        <w:t xml:space="preserve">Энергоснабжающая организация (Поставщики) обязаны:</w:t>
      </w:r>
    </w:p>
    <w:p>
      <w:pPr>
        <w:spacing w:after="120"/>
        <w:ind w:firstLine="720"/>
        <w:jc w:val="both"/>
      </w:pPr>
      <w:r>
        <w:rPr>
          <w:rFonts w:ascii="Arial" w:cs="Arial" w:eastAsia="Arial" w:hAnsi="Arial"/>
          <w:b/>
          <w:bCs/>
          <w:sz w:val="24"/>
          <w:szCs w:val="24"/>
        </w:rPr>
        <w:t xml:space="preserve">- </w:t>
      </w:r>
      <w:r>
        <w:rPr>
          <w:rFonts w:ascii="Arial" w:cs="Arial" w:eastAsia="Arial" w:hAnsi="Arial"/>
          <w:sz w:val="24"/>
          <w:szCs w:val="24"/>
        </w:rPr>
        <w:t xml:space="preserve">обеспечивает бесперебойный отпуск электрической, тепловой энергии и природного газа в пределах разрешенной мощности, установленной Контрактом (договором) на снабжение энергоносителей;</w:t>
      </w:r>
    </w:p>
    <w:p>
      <w:pPr>
        <w:spacing w:after="120"/>
        <w:ind w:firstLine="720"/>
        <w:jc w:val="both"/>
      </w:pPr>
      <w:r>
        <w:rPr>
          <w:rFonts w:ascii="Arial" w:cs="Arial" w:eastAsia="Arial" w:hAnsi="Arial"/>
          <w:sz w:val="24"/>
          <w:szCs w:val="24"/>
        </w:rPr>
        <w:t xml:space="preserve">- предоставлять неукоснительно и своевременно на постоянной основе Потребителям и их структурным подразделениям (бюджетным организациям) и по запросу НИИЭ нормативную правовую (Контракты на поставку энергоносителей с приложениями и соответствующими расчетами, технические условия на подключение, Акты балансовой принадлежности, схемы энергоснабжения и др), финансовую документацию бюджетных организаций (счета-фактуры на оплату, включая ведомости расхода энергоносителей по точкам подключения и др.), схемы электро-, тепло- и газоснабжения (внутренние и наружные), технические и энергетические паспорта зданий, другую документацию, необходимую для утверждения лимитов потребления электрической, тепловой энергии и природного газа;</w:t>
      </w:r>
    </w:p>
    <w:p>
      <w:pPr>
        <w:spacing w:after="120"/>
        <w:ind w:firstLine="720"/>
        <w:jc w:val="both"/>
      </w:pPr>
      <w:r>
        <w:rPr>
          <w:rFonts w:ascii="Arial" w:cs="Arial" w:eastAsia="Arial" w:hAnsi="Arial"/>
          <w:sz w:val="24"/>
          <w:szCs w:val="24"/>
        </w:rPr>
        <w:t xml:space="preserve">- обосновывающие расчеты по подбору трансформаторов тока и определению потерь в оборудовании и сетях бюджетных организаций;</w:t>
      </w:r>
    </w:p>
    <w:p>
      <w:pPr>
        <w:spacing w:after="120"/>
        <w:ind w:firstLine="720"/>
        <w:jc w:val="both"/>
      </w:pPr>
      <w:r>
        <w:rPr>
          <w:rFonts w:ascii="Arial" w:cs="Arial" w:eastAsia="Arial" w:hAnsi="Arial"/>
          <w:sz w:val="24"/>
          <w:szCs w:val="24"/>
        </w:rPr>
        <w:t xml:space="preserve">- вводить принудительные ограничения в отпуске электрической, тепловой энергии и природного газа потребителям, в случаях превышения бюджетными организациями установленных разрешенных мощностей согласно действующих Контрактов (договоров) на поставку энергоносителей;</w:t>
      </w:r>
    </w:p>
    <w:p>
      <w:pPr>
        <w:spacing w:after="120"/>
        <w:ind w:firstLine="720"/>
        <w:jc w:val="both"/>
      </w:pPr>
      <w:r>
        <w:rPr>
          <w:rFonts w:ascii="Arial" w:cs="Arial" w:eastAsia="Arial" w:hAnsi="Arial"/>
          <w:sz w:val="24"/>
          <w:szCs w:val="24"/>
        </w:rPr>
        <w:t xml:space="preserve">- вести раздельный учет лимитируемых энергоносителей, осуществляющих оплату за счет бюджетных средств и фактического потребления энергоносителей небюджетными потребителями (субабонентами-арендаторами), размещенными в зданиях бюджетной организации на основе обязательного учета электрической энергии (приборов учета энергоносителей);</w:t>
      </w:r>
    </w:p>
    <w:p>
      <w:pPr>
        <w:spacing w:after="120"/>
        <w:ind w:firstLine="720"/>
        <w:jc w:val="both"/>
      </w:pPr>
      <w:r>
        <w:rPr>
          <w:rFonts w:ascii="Arial" w:cs="Arial" w:eastAsia="Arial" w:hAnsi="Arial"/>
          <w:sz w:val="24"/>
          <w:szCs w:val="24"/>
        </w:rPr>
        <w:t xml:space="preserve">- не допускать нарушений действующих Правил учета и пользования электрической энергии и других нормативних технических документов при выставлении счетов оплаты за фактическую потребленную электрическую энергию,включая фактическое потребление электроэнергии строго по точкам учета (приборы учета электрической энергии). Счета оплаты за потребленную электрическую для бюджетных организаций, включая субподрядчиков выставляются строго по приборам учета.</w:t>
      </w:r>
    </w:p>
    <w:p>
      <w:pPr>
        <w:spacing w:after="120"/>
        <w:ind w:firstLine="3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ЭНЕРГЕТИЧЕСКОЕ ОБСЛЕДОВАНИЕ БЮДЖЕТНЫХ ОРГАНИЗАЦИЙ</w:t>
      </w:r>
    </w:p>
    <w:p>
      <w:pPr>
        <w:spacing w:after="120"/>
        <w:jc w:val="both"/>
      </w:pPr>
      <w:r>
        <w:rPr>
          <w:rFonts w:ascii="Arial" w:cs="Arial" w:eastAsia="Arial" w:hAnsi="Arial"/>
          <w:sz w:val="24"/>
          <w:szCs w:val="24"/>
        </w:rPr>
        <w:t xml:space="preserve"/>
      </w:r>
    </w:p>
    <w:p>
      <w:pPr>
        <w:spacing w:after="120"/>
        <w:ind w:firstLine="706"/>
        <w:jc w:val="both"/>
      </w:pPr>
      <w:r>
        <w:rPr>
          <w:rFonts w:ascii="Arial" w:cs="Arial" w:eastAsia="Arial" w:hAnsi="Arial"/>
          <w:b/>
          <w:bCs/>
          <w:sz w:val="24"/>
          <w:szCs w:val="24"/>
        </w:rPr>
        <w:t xml:space="preserve">5.1. Цели и задачи энергетического обследования</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По объему проводимых работ энергоаудит бюджетных организаций относится к экспресс-обследованию без использования приборного оборудования с визуальным обследованием зданий, сооружений, энергетических, инженерных сетей и оборудования, сбором достоверной документальной информации объекта обследования и с заполнением типовой формы Анкеты по энергоаудиту. В ходе проведения энергоаудита оценивается техническое состояние оболочки зданий и сооружений, систем электро-, тепло- и газоснабжения, работоспособность энергетического и теплотехнического оборудования, отопительной системы, наличие контрольных и коммерческих приборов учета энергоносителей, выявление необоснованных потерь и другие меры, описанные в настоящей Методике.</w:t>
      </w:r>
    </w:p>
    <w:p>
      <w:pPr>
        <w:spacing w:after="120"/>
        <w:ind w:firstLine="720"/>
        <w:jc w:val="both"/>
      </w:pPr>
      <w:r>
        <w:rPr>
          <w:rFonts w:ascii="Arial" w:cs="Arial" w:eastAsia="Arial" w:hAnsi="Arial"/>
          <w:sz w:val="24"/>
          <w:szCs w:val="24"/>
        </w:rPr>
        <w:t xml:space="preserve">Энергетический аудит оценивает реальную картину текущей ситуации энергопотребления, имеет возможность выявления нерационального использования энергоносителей и устанавливает достоверные величины лимитов потребления тепловой, электрической энергии и природного газа. Наработки научно-исследовательской работы (НИР) служат основой для создания на последующих этапах электронной базы данных объектов энергоаудита (бюджетные организации) с целью разработки и внедрения энергетического паспорта предприятия.</w:t>
      </w:r>
    </w:p>
    <w:p>
      <w:pPr>
        <w:spacing w:after="120"/>
        <w:ind w:firstLine="720"/>
        <w:jc w:val="both"/>
      </w:pPr>
      <w:r>
        <w:rPr>
          <w:rFonts w:ascii="Arial" w:cs="Arial" w:eastAsia="Arial" w:hAnsi="Arial"/>
          <w:sz w:val="24"/>
          <w:szCs w:val="24"/>
        </w:rPr>
        <w:t xml:space="preserve">Проведение энергетического обследования является обязательным для бюджетных организаций и их структурных подведомственных учреждений, относящихся к категории «Потребители» и определенных в п.4.4 раздела 4 настоящей Методики.</w:t>
      </w:r>
    </w:p>
    <w:p>
      <w:pPr>
        <w:spacing w:after="120"/>
        <w:ind w:firstLine="720"/>
        <w:jc w:val="both"/>
      </w:pPr>
      <w:r>
        <w:rPr>
          <w:rFonts w:ascii="Arial" w:cs="Arial" w:eastAsia="Arial" w:hAnsi="Arial"/>
          <w:sz w:val="24"/>
          <w:szCs w:val="24"/>
        </w:rPr>
        <w:t xml:space="preserve">На начальном этапе, согласно данных лимитов и фактического потребления энергоносителей за последние 3 года на начало проведения энергоаудита оценивается степень достоверности полученной информации. Выявляются энергоемкие подразделения бюджетных учреждений и места наиболее вероятных потерь энергоресурсов для проведения энергетического обследования. Ниже приводится основные цели и задачи для их достижения.</w:t>
      </w:r>
    </w:p>
    <w:p>
      <w:pPr>
        <w:spacing w:after="120"/>
        <w:ind w:firstLine="720"/>
        <w:jc w:val="both"/>
      </w:pPr>
      <w:r>
        <w:rPr>
          <w:rFonts w:ascii="Arial" w:cs="Arial" w:eastAsia="Arial" w:hAnsi="Arial"/>
          <w:sz w:val="24"/>
          <w:szCs w:val="24"/>
        </w:rPr>
        <w:t xml:space="preserve">При необходимости и при нахождении источников финансирования для выявления конкретных мест потерь энергоресурсов применяются тепловизионные обследования и другие методов диагностики.</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Основными целями энергетического обследования бюджетных организаций</w:t>
      </w:r>
      <w:r>
        <w:rPr>
          <w:rFonts w:ascii="Arial" w:cs="Arial" w:eastAsia="Arial" w:hAnsi="Arial"/>
          <w:sz w:val="24"/>
          <w:szCs w:val="24"/>
        </w:rPr>
        <w:t xml:space="preserve"> являются:</w:t>
      </w:r>
    </w:p>
    <w:p>
      <w:pPr>
        <w:spacing w:after="120"/>
        <w:ind w:firstLine="720"/>
        <w:jc w:val="both"/>
      </w:pPr>
      <w:r>
        <w:rPr>
          <w:rFonts w:ascii="Arial" w:cs="Arial" w:eastAsia="Arial" w:hAnsi="Arial"/>
          <w:sz w:val="24"/>
          <w:szCs w:val="24"/>
        </w:rPr>
        <w:t xml:space="preserve">- утверждение лимитов потребления электрической, тепловой энергии и природного газа, используемые на собственное потребление бюджетных организаций, финансируемых из республиканского и местного бюджетов на основе достоверных величин лимитов энергоносителей, полученных в ходе энергоаудита;</w:t>
      </w:r>
    </w:p>
    <w:p>
      <w:pPr>
        <w:spacing w:after="120"/>
        <w:ind w:firstLine="720"/>
        <w:jc w:val="both"/>
      </w:pPr>
      <w:r>
        <w:rPr>
          <w:rFonts w:ascii="Arial" w:cs="Arial" w:eastAsia="Arial" w:hAnsi="Arial"/>
          <w:sz w:val="24"/>
          <w:szCs w:val="24"/>
        </w:rPr>
        <w:t xml:space="preserve">- получение объективных достоверных величин фактического потребления энергоносителей (электрическая, тепловая энергии и природный газ) для бюджетных организаций, используемых для собственного потребления, а также для потребителей энергоносителей, не включенных в лимитирование энергоносителей, определенных настоящей Методикой;</w:t>
      </w:r>
    </w:p>
    <w:p>
      <w:pPr>
        <w:spacing w:after="120"/>
        <w:ind w:firstLine="720"/>
        <w:jc w:val="both"/>
      </w:pPr>
      <w:r>
        <w:rPr>
          <w:rFonts w:ascii="Arial" w:cs="Arial" w:eastAsia="Arial" w:hAnsi="Arial"/>
          <w:sz w:val="24"/>
          <w:szCs w:val="24"/>
        </w:rPr>
        <w:t xml:space="preserve">- выявление величины превышения фактического энергопотребления бюджетными организациями и их структурными подразделениями над лимитами энергоносителей, утвержденными уполномоченными государственными органами.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Для достижения цели выполняются следующие задачи: </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выбор и подготовка Реестра наиболее энергоемких бюджетных организаций и их структурных учреждений для поэтапного проведения энергетического обследования (экспресс-энергоаудит) с выездом на места (полевые условия), визуального обследования энергетического и теплотехнического оборудования, коммерческого учета энергоносителей, сбора достоверной документальной информации и получении заполненной по типовой форме Анкеты по энергоаудиту с соответствующими обосновывающими документами;</w:t>
      </w:r>
    </w:p>
    <w:p>
      <w:pPr>
        <w:spacing w:after="120"/>
        <w:ind w:firstLine="709"/>
        <w:jc w:val="both"/>
      </w:pPr>
      <w:r>
        <w:rPr>
          <w:rFonts w:ascii="Arial" w:cs="Arial" w:eastAsia="Arial" w:hAnsi="Arial"/>
          <w:sz w:val="24"/>
          <w:szCs w:val="24"/>
        </w:rPr>
        <w:t xml:space="preserve">- определение тепло- и электропотребление на отопление, вентиляцию, горячее водоснабжение, освещение мест общего пользования, лифтовое хозяйство и другие специфические элементы инженерного оборудования;</w:t>
      </w:r>
    </w:p>
    <w:p>
      <w:pPr>
        <w:spacing w:after="120"/>
        <w:ind w:firstLine="709"/>
        <w:jc w:val="both"/>
      </w:pPr>
      <w:r>
        <w:rPr>
          <w:rFonts w:ascii="Arial" w:cs="Arial" w:eastAsia="Arial" w:hAnsi="Arial"/>
          <w:sz w:val="24"/>
          <w:szCs w:val="24"/>
        </w:rPr>
        <w:t xml:space="preserve">- выявление основных причин роста потребления электрической, тепловой энергии и природного газа;</w:t>
      </w:r>
    </w:p>
    <w:p>
      <w:pPr>
        <w:spacing w:after="120"/>
        <w:ind w:firstLine="709"/>
        <w:jc w:val="both"/>
      </w:pPr>
      <w:r>
        <w:rPr>
          <w:rFonts w:ascii="Arial" w:cs="Arial" w:eastAsia="Arial" w:hAnsi="Arial"/>
          <w:sz w:val="24"/>
          <w:szCs w:val="24"/>
        </w:rPr>
        <w:t xml:space="preserve">- осуществление мониторинга и анализа использования бюджетными организациями лимитов на энергоносители и соответственно финансовых средств, выделяемых бюджетным организациям на коммунальные услуги;</w:t>
      </w:r>
    </w:p>
    <w:p>
      <w:pPr>
        <w:spacing w:after="120"/>
        <w:ind w:firstLine="709"/>
        <w:jc w:val="both"/>
      </w:pPr>
      <w:r>
        <w:rPr>
          <w:rFonts w:ascii="Arial" w:cs="Arial" w:eastAsia="Arial" w:hAnsi="Arial"/>
          <w:sz w:val="24"/>
          <w:szCs w:val="24"/>
        </w:rPr>
        <w:t xml:space="preserve">- оптимизация и повышение эффективности планирования по утверждению достоверных величин лимитов потребления энергоносителей и соответственно управления бюджетными расходами на коммунальные услуги;</w:t>
      </w:r>
    </w:p>
    <w:p>
      <w:pPr>
        <w:spacing w:after="120"/>
        <w:ind w:firstLine="709"/>
        <w:jc w:val="both"/>
      </w:pPr>
      <w:r>
        <w:rPr>
          <w:rFonts w:ascii="Arial" w:cs="Arial" w:eastAsia="Arial" w:hAnsi="Arial"/>
          <w:sz w:val="24"/>
          <w:szCs w:val="24"/>
        </w:rPr>
        <w:t xml:space="preserve">- выявление нарушений, влияющих на ежегодный рост фактического потребления энергоносителей и соответственно на утверждение их лимитов;</w:t>
      </w:r>
    </w:p>
    <w:p>
      <w:pPr>
        <w:spacing w:after="120"/>
        <w:ind w:firstLine="709"/>
        <w:jc w:val="both"/>
      </w:pPr>
      <w:r>
        <w:rPr>
          <w:rFonts w:ascii="Arial" w:cs="Arial" w:eastAsia="Arial" w:hAnsi="Arial"/>
          <w:sz w:val="24"/>
          <w:szCs w:val="24"/>
        </w:rPr>
        <w:t xml:space="preserve">- оперативное принятие решений и анализ результатов в области рационального использования энергоносителей и соответственно бюджетных средств;</w:t>
      </w:r>
    </w:p>
    <w:p>
      <w:pPr>
        <w:spacing w:after="120"/>
        <w:ind w:firstLine="709"/>
        <w:jc w:val="both"/>
      </w:pPr>
      <w:r>
        <w:rPr>
          <w:rFonts w:ascii="Arial" w:cs="Arial" w:eastAsia="Arial" w:hAnsi="Arial"/>
          <w:sz w:val="24"/>
          <w:szCs w:val="24"/>
        </w:rPr>
        <w:t xml:space="preserve">- определение достоверных величин лимитов потребления энергоносителей для бюджетных организаций и их структурных подразделений;</w:t>
      </w:r>
    </w:p>
    <w:p>
      <w:pPr>
        <w:spacing w:after="120"/>
        <w:ind w:firstLine="709"/>
        <w:jc w:val="both"/>
      </w:pPr>
      <w:r>
        <w:rPr>
          <w:rFonts w:ascii="Arial" w:cs="Arial" w:eastAsia="Arial" w:hAnsi="Arial"/>
          <w:sz w:val="24"/>
          <w:szCs w:val="24"/>
        </w:rPr>
        <w:t xml:space="preserve">- создание документальной основы для электронной базы данных объектов энергетического обследования бюджетных организаций.</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Энергетическому обследованию подлежат:</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отдельно стоящие эксплуатируемые здания и сооружения, находящиеся на балансе бюджетных организаций, а также небюджетные организации, независимо от формы собственности (субабоненты-арендаторы), размещенные в зданиях бюджетных организаций;</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локальные котельные, вентиляционное, электрическоое, теплотехническое, инженерное оборудование, осуществляющее поставку энергоносителей;</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энергоемкое энергооборудование (скважины, насосные станции и другое);</w:t>
      </w:r>
    </w:p>
    <w:p>
      <w:pPr>
        <w:spacing w:after="120"/>
        <w:ind w:firstLine="709"/>
        <w:jc w:val="both"/>
      </w:pPr>
      <w:r>
        <w:rPr>
          <w:rFonts w:ascii="Arial" w:cs="Arial" w:eastAsia="Arial" w:hAnsi="Arial"/>
          <w:sz w:val="24"/>
          <w:szCs w:val="24"/>
        </w:rPr>
        <w:t xml:space="preserve">- системы электроснабжения (трансформаторные подстанции, электрические сети и оборудование), отопления и горячего водоснабжения (котельные, тепловые пункты и сети), водопотребления и водоотведения, газоснабжения и газораспределительных пунктах (ГРП);</w:t>
      </w:r>
    </w:p>
    <w:p>
      <w:pPr>
        <w:spacing w:after="120"/>
        <w:ind w:firstLine="709"/>
        <w:jc w:val="both"/>
      </w:pPr>
      <w:r>
        <w:rPr>
          <w:rFonts w:ascii="Arial" w:cs="Arial" w:eastAsia="Arial" w:hAnsi="Arial"/>
          <w:sz w:val="24"/>
          <w:szCs w:val="24"/>
        </w:rPr>
        <w:t xml:space="preserve">- оборудование субабонентов – арендаторов, размещенных в зданиях бюджетных организаций;</w:t>
      </w:r>
    </w:p>
    <w:p>
      <w:pPr>
        <w:spacing w:after="120"/>
        <w:ind w:firstLine="709"/>
        <w:jc w:val="both"/>
      </w:pPr>
      <w:r>
        <w:rPr>
          <w:rFonts w:ascii="Arial" w:cs="Arial" w:eastAsia="Arial" w:hAnsi="Arial"/>
          <w:sz w:val="24"/>
          <w:szCs w:val="24"/>
        </w:rPr>
        <w:t xml:space="preserve">- узлы учета энергоносителей;</w:t>
      </w:r>
    </w:p>
    <w:p>
      <w:pPr>
        <w:spacing w:after="120"/>
        <w:ind w:firstLine="709"/>
        <w:jc w:val="both"/>
      </w:pPr>
      <w:r>
        <w:rPr>
          <w:rFonts w:ascii="Arial" w:cs="Arial" w:eastAsia="Arial" w:hAnsi="Arial"/>
          <w:sz w:val="24"/>
          <w:szCs w:val="24"/>
        </w:rPr>
        <w:t xml:space="preserve">- источники освещения, компьютеры, лабораторное и процедурное оборудование и другое оборудование, используемое на бытовые и другие нужды;</w:t>
      </w:r>
    </w:p>
    <w:p>
      <w:pPr>
        <w:spacing w:after="120"/>
        <w:ind w:firstLine="709"/>
        <w:jc w:val="both"/>
      </w:pPr>
      <w:r>
        <w:rPr>
          <w:rFonts w:ascii="Arial" w:cs="Arial" w:eastAsia="Arial" w:hAnsi="Arial"/>
          <w:sz w:val="24"/>
          <w:szCs w:val="24"/>
        </w:rPr>
        <w:t xml:space="preserve">- вновь построенные, существующие, изменившие функциональное назначение (перепрофилированные), реконструируемые, капитально ремонтируемые и модернизируемые здания и сооружения.</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5.2. Источники энергоаудита и достоверная документальная база</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В сборе информации на предварительном уровне</w:t>
      </w:r>
      <w:r>
        <w:rPr>
          <w:rFonts w:ascii="Arial" w:cs="Arial" w:eastAsia="Arial" w:hAnsi="Arial"/>
          <w:sz w:val="24"/>
          <w:szCs w:val="24"/>
        </w:rPr>
        <w:t xml:space="preserve"> участвуют как обследующая организация (НИИЭ), так и объект энергоаудита (бюджетная организация). Объекты энергоаудита (бюджетные организации и их структурные подразделения) оказывают содействие энергоаудиторской компании (НИИЭ) в осуществлении сбора достоверной документальной информации и самостоятельно заполняют типовую форму Анкеты по энергообследованию (энергоаудиту) согласно Приложения 1 к настоящей Методике. Организация должна предоставить энергоаудиторам необходимую документальную информацию и фактическое потребление энергоносителей за три последних года по точкам учета энергоносителей на момент проведения энергоаудита.</w:t>
      </w:r>
    </w:p>
    <w:p>
      <w:pPr>
        <w:spacing w:after="120"/>
        <w:ind w:firstLine="720"/>
        <w:jc w:val="both"/>
      </w:pPr>
      <w:r>
        <w:rPr>
          <w:rFonts w:ascii="Arial" w:cs="Arial" w:eastAsia="Arial" w:hAnsi="Arial"/>
          <w:sz w:val="24"/>
          <w:szCs w:val="24"/>
        </w:rPr>
        <w:t xml:space="preserve">Ниже приведен основной перечень документальной информации и данных по энергоаудиту, предоставляемых руководством для установления достоверной величины лимита потребления электрической, тепловой энергии и природного газа.</w:t>
      </w:r>
    </w:p>
    <w:p>
      <w:pPr>
        <w:spacing w:after="120"/>
        <w:ind w:firstLine="720"/>
        <w:jc w:val="both"/>
      </w:pPr>
      <w:r>
        <w:rPr>
          <w:rFonts w:ascii="Arial" w:cs="Arial" w:eastAsia="Arial" w:hAnsi="Arial"/>
          <w:b/>
          <w:bCs/>
          <w:sz w:val="24"/>
          <w:szCs w:val="24"/>
        </w:rPr>
        <w:t xml:space="preserve">При этом бюджетная организация несет ответственность за достоверность предоставленной информации:</w:t>
      </w:r>
    </w:p>
    <w:p>
      <w:pPr>
        <w:spacing w:after="120"/>
        <w:ind w:firstLine="709"/>
        <w:jc w:val="both"/>
      </w:pPr>
      <w:r>
        <w:rPr>
          <w:rFonts w:ascii="Arial" w:cs="Arial" w:eastAsia="Arial" w:hAnsi="Arial"/>
          <w:sz w:val="24"/>
          <w:szCs w:val="24"/>
        </w:rPr>
        <w:t xml:space="preserve">- общие сведения о бюджетной организации;</w:t>
      </w:r>
    </w:p>
    <w:p>
      <w:pPr>
        <w:spacing w:after="120"/>
        <w:ind w:firstLine="709"/>
        <w:jc w:val="both"/>
      </w:pPr>
      <w:r>
        <w:rPr>
          <w:rFonts w:ascii="Arial" w:cs="Arial" w:eastAsia="Arial" w:hAnsi="Arial"/>
          <w:sz w:val="24"/>
          <w:szCs w:val="24"/>
        </w:rPr>
        <w:t xml:space="preserve">- перечень основного энергетического, теплотехнического и инженерного оборудования;</w:t>
      </w:r>
    </w:p>
    <w:p>
      <w:pPr>
        <w:spacing w:after="120"/>
        <w:ind w:firstLine="709"/>
        <w:jc w:val="both"/>
      </w:pPr>
      <w:r>
        <w:rPr>
          <w:rFonts w:ascii="Arial" w:cs="Arial" w:eastAsia="Arial" w:hAnsi="Arial"/>
          <w:sz w:val="24"/>
          <w:szCs w:val="24"/>
        </w:rPr>
        <w:t xml:space="preserve">- технические и энергетические характеристики установок;</w:t>
      </w:r>
    </w:p>
    <w:p>
      <w:pPr>
        <w:spacing w:after="120"/>
        <w:ind w:firstLine="709"/>
        <w:jc w:val="both"/>
      </w:pPr>
      <w:r>
        <w:rPr>
          <w:rFonts w:ascii="Arial" w:cs="Arial" w:eastAsia="Arial" w:hAnsi="Arial"/>
          <w:sz w:val="24"/>
          <w:szCs w:val="24"/>
        </w:rPr>
        <w:t xml:space="preserve">- технико-экономические характеристики энергоносителей, используемых в организации;</w:t>
      </w:r>
    </w:p>
    <w:p>
      <w:pPr>
        <w:spacing w:after="120"/>
        <w:ind w:firstLine="709"/>
        <w:jc w:val="both"/>
      </w:pPr>
      <w:r>
        <w:rPr>
          <w:rFonts w:ascii="Arial" w:cs="Arial" w:eastAsia="Arial" w:hAnsi="Arial"/>
          <w:sz w:val="24"/>
          <w:szCs w:val="24"/>
        </w:rPr>
        <w:t xml:space="preserve">- при наличии приборов учета ежемесячные фактические данные расходов потребления энергоносителей в разрезе структурных учреждений, включая данные энергоносителей, потребляемые небюджетными организациями (субабонентами-арендаторами) за последние 3-4 года на основе счетов фактуры и ведомостям поставок энергоносителей по точкам учета;</w:t>
      </w:r>
    </w:p>
    <w:p>
      <w:pPr>
        <w:spacing w:after="120"/>
        <w:ind w:firstLine="709"/>
        <w:jc w:val="both"/>
      </w:pPr>
      <w:r>
        <w:rPr>
          <w:rFonts w:ascii="Arial" w:cs="Arial" w:eastAsia="Arial" w:hAnsi="Arial"/>
          <w:sz w:val="24"/>
          <w:szCs w:val="24"/>
        </w:rPr>
        <w:t xml:space="preserve">- контракты (договора) на поставку энергоносителей с соответствующими приложениями и обосновывающими расчетами;</w:t>
      </w:r>
    </w:p>
    <w:p>
      <w:pPr>
        <w:spacing w:after="120"/>
        <w:ind w:firstLine="709"/>
        <w:jc w:val="both"/>
      </w:pPr>
      <w:r>
        <w:rPr>
          <w:rFonts w:ascii="Arial" w:cs="Arial" w:eastAsia="Arial" w:hAnsi="Arial"/>
          <w:sz w:val="24"/>
          <w:szCs w:val="24"/>
        </w:rPr>
        <w:t xml:space="preserve">- строительные характеристики отдельно стоящих зданий и сооружений;</w:t>
      </w:r>
    </w:p>
    <w:p>
      <w:pPr>
        <w:spacing w:after="120"/>
        <w:ind w:firstLine="709"/>
        <w:jc w:val="both"/>
      </w:pPr>
      <w:r>
        <w:rPr>
          <w:rFonts w:ascii="Arial" w:cs="Arial" w:eastAsia="Arial" w:hAnsi="Arial"/>
          <w:sz w:val="24"/>
          <w:szCs w:val="24"/>
        </w:rPr>
        <w:t xml:space="preserve">- документацию по коммерческому и техническому учету энергоносителей;</w:t>
      </w:r>
    </w:p>
    <w:p>
      <w:pPr>
        <w:spacing w:after="120"/>
        <w:ind w:firstLine="709"/>
        <w:jc w:val="both"/>
      </w:pPr>
      <w:r>
        <w:rPr>
          <w:rFonts w:ascii="Arial" w:cs="Arial" w:eastAsia="Arial" w:hAnsi="Arial"/>
          <w:sz w:val="24"/>
          <w:szCs w:val="24"/>
        </w:rPr>
        <w:t xml:space="preserve">- счета оплаты за потребленные энергоносители от поставщиков энергоносителей;</w:t>
      </w:r>
    </w:p>
    <w:p>
      <w:pPr>
        <w:spacing w:after="120"/>
        <w:ind w:firstLine="709"/>
        <w:jc w:val="both"/>
      </w:pPr>
      <w:r>
        <w:rPr>
          <w:rFonts w:ascii="Arial" w:cs="Arial" w:eastAsia="Arial" w:hAnsi="Arial"/>
          <w:sz w:val="24"/>
          <w:szCs w:val="24"/>
        </w:rPr>
        <w:t xml:space="preserve">- техническая документация на технологическое и вспомогательное оборудование;</w:t>
      </w:r>
    </w:p>
    <w:p>
      <w:pPr>
        <w:spacing w:after="120"/>
        <w:ind w:firstLine="709"/>
        <w:jc w:val="both"/>
      </w:pPr>
      <w:r>
        <w:rPr>
          <w:rFonts w:ascii="Arial" w:cs="Arial" w:eastAsia="Arial" w:hAnsi="Arial"/>
          <w:sz w:val="24"/>
          <w:szCs w:val="24"/>
        </w:rPr>
        <w:t xml:space="preserve">- отчетная документация по энергосберегающим мероприятиям;</w:t>
      </w:r>
    </w:p>
    <w:p>
      <w:pPr>
        <w:spacing w:after="120"/>
        <w:ind w:firstLine="709"/>
        <w:jc w:val="both"/>
      </w:pPr>
      <w:r>
        <w:rPr>
          <w:rFonts w:ascii="Arial" w:cs="Arial" w:eastAsia="Arial" w:hAnsi="Arial"/>
          <w:sz w:val="24"/>
          <w:szCs w:val="24"/>
        </w:rPr>
        <w:t xml:space="preserve">- сведения о локальных источниках электро- и теплоснабжения, природного газа и топлива (угля) и других поставщиках энергоносителей;</w:t>
      </w:r>
    </w:p>
    <w:p>
      <w:pPr>
        <w:spacing w:after="120"/>
        <w:ind w:firstLine="709"/>
        <w:jc w:val="both"/>
      </w:pPr>
      <w:r>
        <w:rPr>
          <w:rFonts w:ascii="Arial" w:cs="Arial" w:eastAsia="Arial" w:hAnsi="Arial"/>
          <w:sz w:val="24"/>
          <w:szCs w:val="24"/>
        </w:rPr>
        <w:t xml:space="preserve">- схемы энергоснабжения (электро-, тепло- и газоснабжения) и учета энергоресурсов;</w:t>
      </w:r>
    </w:p>
    <w:p>
      <w:pPr>
        <w:spacing w:after="120"/>
        <w:ind w:firstLine="709"/>
        <w:jc w:val="both"/>
      </w:pPr>
      <w:r>
        <w:rPr>
          <w:rFonts w:ascii="Arial" w:cs="Arial" w:eastAsia="Arial" w:hAnsi="Arial"/>
          <w:sz w:val="24"/>
          <w:szCs w:val="24"/>
        </w:rPr>
        <w:t xml:space="preserve">- информация и документация по коммерческому и техническому учету энергоресурсов;</w:t>
      </w:r>
    </w:p>
    <w:p>
      <w:pPr>
        <w:spacing w:after="120"/>
        <w:ind w:firstLine="709"/>
        <w:jc w:val="both"/>
      </w:pPr>
      <w:r>
        <w:rPr>
          <w:rFonts w:ascii="Arial" w:cs="Arial" w:eastAsia="Arial" w:hAnsi="Arial"/>
          <w:sz w:val="24"/>
          <w:szCs w:val="24"/>
        </w:rPr>
        <w:t xml:space="preserve">- данные по объему произведенной продукции, ценам и тарифам;</w:t>
      </w:r>
    </w:p>
    <w:p>
      <w:pPr>
        <w:spacing w:after="120"/>
        <w:ind w:firstLine="709"/>
        <w:jc w:val="both"/>
      </w:pPr>
      <w:r>
        <w:rPr>
          <w:rFonts w:ascii="Arial" w:cs="Arial" w:eastAsia="Arial" w:hAnsi="Arial"/>
          <w:sz w:val="24"/>
          <w:szCs w:val="24"/>
        </w:rPr>
        <w:t xml:space="preserve">- техническая документация на технологическое и вспомогательное оборудование (технологические схемы, спецификации, режимные карты, регламенты и т.д.);</w:t>
      </w:r>
    </w:p>
    <w:p>
      <w:pPr>
        <w:spacing w:after="120"/>
        <w:ind w:firstLine="709"/>
        <w:jc w:val="both"/>
      </w:pPr>
      <w:r>
        <w:rPr>
          <w:rFonts w:ascii="Arial" w:cs="Arial" w:eastAsia="Arial" w:hAnsi="Arial"/>
          <w:sz w:val="24"/>
          <w:szCs w:val="24"/>
        </w:rPr>
        <w:t xml:space="preserve">- отчетная документация по ремонтным, наладочным, испытательным и энергосберегающим мероприятиям;</w:t>
      </w:r>
    </w:p>
    <w:p>
      <w:pPr>
        <w:spacing w:after="120"/>
        <w:ind w:firstLine="709"/>
        <w:jc w:val="both"/>
      </w:pPr>
      <w:r>
        <w:rPr>
          <w:rFonts w:ascii="Arial" w:cs="Arial" w:eastAsia="Arial" w:hAnsi="Arial"/>
          <w:sz w:val="24"/>
          <w:szCs w:val="24"/>
        </w:rPr>
        <w:t xml:space="preserve">- перспективные программы, технико-экономическое обоснование (ТЭО), проектная документация на технологические или организационные усовершенствования, планы развития предприятия;</w:t>
      </w:r>
    </w:p>
    <w:p>
      <w:pPr>
        <w:spacing w:after="120"/>
        <w:ind w:firstLine="709"/>
        <w:jc w:val="both"/>
      </w:pPr>
      <w:r>
        <w:rPr>
          <w:rFonts w:ascii="Arial" w:cs="Arial" w:eastAsia="Arial" w:hAnsi="Arial"/>
          <w:sz w:val="24"/>
          <w:szCs w:val="24"/>
        </w:rPr>
        <w:t xml:space="preserve">- проектная документация и акты технической инвентаризации по строительно-планировочным решениям обследуемых зданий объекта;</w:t>
      </w:r>
    </w:p>
    <w:p>
      <w:pPr>
        <w:spacing w:after="120"/>
        <w:ind w:firstLine="709"/>
        <w:jc w:val="both"/>
      </w:pPr>
      <w:r>
        <w:rPr>
          <w:rFonts w:ascii="Arial" w:cs="Arial" w:eastAsia="Arial" w:hAnsi="Arial"/>
          <w:sz w:val="24"/>
          <w:szCs w:val="24"/>
        </w:rPr>
        <w:t xml:space="preserve">- схемы системы электроснабжения, теплоснабжения, газоснабжения, топливоснабжения, энергетические паспорта зданий;</w:t>
      </w:r>
    </w:p>
    <w:p>
      <w:pPr>
        <w:spacing w:after="120"/>
        <w:ind w:firstLine="709"/>
        <w:jc w:val="both"/>
      </w:pPr>
      <w:r>
        <w:rPr>
          <w:rFonts w:ascii="Arial" w:cs="Arial" w:eastAsia="Arial" w:hAnsi="Arial"/>
          <w:sz w:val="24"/>
          <w:szCs w:val="24"/>
        </w:rPr>
        <w:t xml:space="preserve">- информация о потреблении всех энергоресурсов помесячно в базовом (отчетном) году и финансовых затрат за их оплату в целом по объекту и отдельно по сторонним потребителям;</w:t>
      </w:r>
    </w:p>
    <w:p>
      <w:pPr>
        <w:spacing w:after="120"/>
        <w:ind w:firstLine="709"/>
        <w:jc w:val="both"/>
      </w:pPr>
      <w:r>
        <w:rPr>
          <w:rFonts w:ascii="Arial" w:cs="Arial" w:eastAsia="Arial" w:hAnsi="Arial"/>
          <w:sz w:val="24"/>
          <w:szCs w:val="24"/>
        </w:rPr>
        <w:t xml:space="preserve">- состояние приборного учета потребления энергоресурсов;</w:t>
      </w:r>
    </w:p>
    <w:p>
      <w:pPr>
        <w:spacing w:after="120"/>
        <w:ind w:firstLine="709"/>
        <w:jc w:val="both"/>
      </w:pPr>
      <w:r>
        <w:rPr>
          <w:rFonts w:ascii="Arial" w:cs="Arial" w:eastAsia="Arial" w:hAnsi="Arial"/>
          <w:sz w:val="24"/>
          <w:szCs w:val="24"/>
        </w:rPr>
        <w:t xml:space="preserve">- информации об источниках энергоснабжения:</w:t>
      </w:r>
    </w:p>
    <w:p>
      <w:pPr>
        <w:spacing w:after="120"/>
        <w:ind w:firstLine="709"/>
        <w:jc w:val="both"/>
      </w:pPr>
      <w:r>
        <w:rPr>
          <w:rFonts w:ascii="Arial" w:cs="Arial" w:eastAsia="Arial" w:hAnsi="Arial"/>
          <w:sz w:val="24"/>
          <w:szCs w:val="24"/>
        </w:rPr>
        <w:t xml:space="preserve">- сбор информации о приточно-вытяжной вентиляции: количество работающего и неработающего оборудования, их производительность.</w:t>
      </w:r>
    </w:p>
    <w:p>
      <w:pPr>
        <w:spacing w:after="120"/>
        <w:ind w:firstLine="720"/>
        <w:jc w:val="both"/>
      </w:pPr>
      <w:r>
        <w:rPr>
          <w:rFonts w:ascii="Arial" w:cs="Arial" w:eastAsia="Arial" w:hAnsi="Arial"/>
          <w:sz w:val="24"/>
          <w:szCs w:val="24"/>
        </w:rPr>
        <w:t xml:space="preserve">Все действия по энергетическому обследованию должны быть направлены на оценку существующего состояния по использованию энергоресурсов в обследуемой организации, эффективности энергопользования и разработку энергосберегающих мероприятий.</w:t>
      </w:r>
    </w:p>
    <w:p>
      <w:pPr>
        <w:spacing w:after="120"/>
        <w:ind w:firstLine="720"/>
        <w:jc w:val="both"/>
      </w:pPr>
      <w:r>
        <w:rPr>
          <w:rFonts w:ascii="Arial" w:cs="Arial" w:eastAsia="Arial" w:hAnsi="Arial"/>
          <w:sz w:val="24"/>
          <w:szCs w:val="24"/>
        </w:rPr>
        <w:t xml:space="preserve">На основании данных Анкеты и документов, полученных в ходе энергетического обследования устанавливаются достоверные величины лимитов энергоносителей (раздельно) для в целом для бюджетных организаций и их структурных подразделений в разрезе регионов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ПОРЯДОК ОПРЕДЕЛЕНИЯ, РАСЧЕТА И УТВЕРЖДЕНИЯ ЛИМИТОВ ПОТРЕБЛЕНИЯ ЭНЕРГОНОСИТЕЛЕЙ</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Настоящий Порядок устанавливает процедуру формирования, расчетов и утверждения лимитов потребления электрической, тепловой энергии и природного газа для бюджетных организаций и их структурных подразделений, финансируемых из республиканского и местных бюджетов республики. В основе формирования лимитирования потребления электрической, тепловой энергии и природного газа лежит исследование, мониторинг, энергоаудит и анализ фактического потребления энергоносителей бюджетных организаций и их структурных учреждений. Ниже приводится порядок формирования лимитов энергоносителей.</w:t>
      </w:r>
    </w:p>
    <w:p>
      <w:pPr>
        <w:spacing w:after="120"/>
        <w:ind w:firstLine="720"/>
        <w:jc w:val="both"/>
      </w:pPr>
      <w:r>
        <w:rPr>
          <w:rFonts w:ascii="Arial" w:cs="Arial" w:eastAsia="Arial" w:hAnsi="Arial"/>
          <w:sz w:val="24"/>
          <w:szCs w:val="24"/>
        </w:rPr>
        <w:t xml:space="preserve">6.1. На начальном этапе проведения энергоаудита руководство бюджетной организации и их структурные подразделения по запросу НИИЭ предоставляют данные лимитов и фактические объемы энергоносителей за последние 3 года в разрезе каждого структурного подразделения.</w:t>
      </w:r>
    </w:p>
    <w:p>
      <w:pPr>
        <w:spacing w:after="120"/>
        <w:ind w:firstLine="720"/>
        <w:jc w:val="both"/>
      </w:pPr>
      <w:r>
        <w:rPr>
          <w:rFonts w:ascii="Arial" w:cs="Arial" w:eastAsia="Arial" w:hAnsi="Arial"/>
          <w:sz w:val="24"/>
          <w:szCs w:val="24"/>
        </w:rPr>
        <w:t xml:space="preserve">6.2. По каждой бюджетной организации и его структурным учреждениям проводится анализ и систематизация основных сведений по объемам и структуре потребления энергоносителей, определяется доля каких энергоносителей в общем их потреблении с целью определения энергоемких бюджетных организаций и их структурных учреждений для поэтапного проведения энергетического обследования (экспресс-энергоаудит) с выездом на места (полевые условия).</w:t>
      </w:r>
    </w:p>
    <w:p>
      <w:pPr>
        <w:spacing w:after="120"/>
        <w:ind w:firstLine="720"/>
        <w:jc w:val="both"/>
      </w:pPr>
      <w:r>
        <w:rPr>
          <w:rFonts w:ascii="Arial" w:cs="Arial" w:eastAsia="Arial" w:hAnsi="Arial"/>
          <w:sz w:val="24"/>
          <w:szCs w:val="24"/>
        </w:rPr>
        <w:t xml:space="preserve">6.3. На основании анализа полученных данных НИИЭ устанавливает Реестр и перечень бюджетных организаций и их структурных подразделений для обязательного поэтапного энергетического обследования их с выездом на место (полевые условия).</w:t>
      </w:r>
    </w:p>
    <w:p>
      <w:pPr>
        <w:spacing w:after="120"/>
        <w:ind w:firstLine="720"/>
        <w:jc w:val="both"/>
      </w:pPr>
      <w:r>
        <w:rPr>
          <w:rFonts w:ascii="Arial" w:cs="Arial" w:eastAsia="Arial" w:hAnsi="Arial"/>
          <w:sz w:val="24"/>
          <w:szCs w:val="24"/>
        </w:rPr>
        <w:t xml:space="preserve">6.4. Для своевременного формирования и утверждения лимитов энергоносителей, руководством бюджетной организации заполняется типовая Анкета по энергоаудиту согласно п. 7 настоящей Методики. </w:t>
      </w:r>
    </w:p>
    <w:p>
      <w:pPr>
        <w:spacing w:after="120"/>
        <w:ind w:firstLine="720"/>
        <w:jc w:val="both"/>
      </w:pPr>
      <w:r>
        <w:rPr>
          <w:rFonts w:ascii="Arial" w:cs="Arial" w:eastAsia="Arial" w:hAnsi="Arial"/>
          <w:sz w:val="24"/>
          <w:szCs w:val="24"/>
        </w:rPr>
        <w:t xml:space="preserve">Заполненные Анкеты по энергоаудиту с обосновывающими документами направляются НИИЭ в течение 30 рабочих дней со дня получения запроса в порядке установленным Институтом (в бумажном формате – сопроводительное письмо с Анкетой по энергоаудиту со всеми обосновывающими документами со счетами – фактуры и ведомостями энергопотребления электроэнергии и теплоэнергии, а в электронном формате - сопроводительное письмо, подписанная и утвержденная Анкета по энергоаудиту руководством и ответственными исполнителями, отвечающими за лимиты энергоносителей).</w:t>
      </w:r>
    </w:p>
    <w:p>
      <w:pPr>
        <w:spacing w:after="120"/>
        <w:ind w:firstLine="720"/>
        <w:jc w:val="both"/>
      </w:pPr>
      <w:r>
        <w:rPr>
          <w:rFonts w:ascii="Arial" w:cs="Arial" w:eastAsia="Arial" w:hAnsi="Arial"/>
          <w:sz w:val="24"/>
          <w:szCs w:val="24"/>
        </w:rPr>
        <w:t xml:space="preserve">6.5. Утвержденные Анкеты по энергоаудиту бюджетные организации и их структурные подразделения направляют в НИИЭ с сопроводительным письмом и прилагают к Анкете обосновывающие документы на бумажном носителе и в форме электронного документа – Анкета по энергоаудиту. При необходимости, данные Анкеты корректируются в ходе проведения энергоаудита.</w:t>
      </w:r>
    </w:p>
    <w:p>
      <w:pPr>
        <w:spacing w:after="120"/>
        <w:ind w:firstLine="720"/>
        <w:jc w:val="both"/>
      </w:pPr>
      <w:r>
        <w:rPr>
          <w:rFonts w:ascii="Arial" w:cs="Arial" w:eastAsia="Arial" w:hAnsi="Arial"/>
          <w:sz w:val="24"/>
          <w:szCs w:val="24"/>
        </w:rPr>
        <w:t xml:space="preserve">6.6. В ходе энергоаудита проводятся беседы с руководством и ответственными лицами организации, осуществляется проверка достоверности полученных данных заполненной Анкеты по энергоаудиту и проверяется наличие документальной информации, перечень которой определена в разделе 5 настоящей Методики.</w:t>
      </w:r>
    </w:p>
    <w:p>
      <w:pPr>
        <w:spacing w:after="120"/>
        <w:ind w:firstLine="720"/>
        <w:jc w:val="both"/>
      </w:pPr>
      <w:r>
        <w:rPr>
          <w:rFonts w:ascii="Arial" w:cs="Arial" w:eastAsia="Arial" w:hAnsi="Arial"/>
          <w:sz w:val="24"/>
          <w:szCs w:val="24"/>
        </w:rPr>
        <w:t xml:space="preserve">6.7. Проводится визуальное обследование энергетического и теплотехнического оборудования (трансформаторные подстанции, элеваторные узлы, средства коммерческого и технического учета энергоносителей и другое оборудование), наличие небюджетных организаций (субабонентов – арендаторов), их производственная деятельность и использование энергоносителей и их оборудование, а также другие потребители, получающие энергоносители через сети и общий коммерческий учет бюджетной организации. В ходе энергоаудита проводится фотографирование и съемка объектов обследования, кроме объектов, имеющих гриф секретности.</w:t>
      </w:r>
    </w:p>
    <w:p>
      <w:pPr>
        <w:spacing w:after="120"/>
        <w:ind w:firstLine="720"/>
        <w:jc w:val="both"/>
      </w:pPr>
      <w:r>
        <w:rPr>
          <w:rFonts w:ascii="Arial" w:cs="Arial" w:eastAsia="Arial" w:hAnsi="Arial"/>
          <w:sz w:val="24"/>
          <w:szCs w:val="24"/>
        </w:rPr>
        <w:t xml:space="preserve">6.8. При необходимости проводятся консультации руководства и ответственных лиц бюджетных организаций.</w:t>
      </w:r>
    </w:p>
    <w:p>
      <w:pPr>
        <w:spacing w:after="120"/>
        <w:ind w:firstLine="720"/>
        <w:jc w:val="both"/>
      </w:pPr>
      <w:r>
        <w:rPr>
          <w:rFonts w:ascii="Arial" w:cs="Arial" w:eastAsia="Arial" w:hAnsi="Arial"/>
          <w:sz w:val="24"/>
          <w:szCs w:val="24"/>
        </w:rPr>
        <w:t xml:space="preserve">6.9. В случаях введения в эксплуатацию новых объектов, реконструкции, перепрофилировании и других изменениях, бюджетные организации обращаются в Министерство энергетики КР и НИИЭ по вопросам увеличения и корректировки лимитов потребления энергоносителей.</w:t>
      </w:r>
    </w:p>
    <w:p>
      <w:pPr>
        <w:spacing w:after="120"/>
        <w:ind w:firstLine="720"/>
        <w:jc w:val="both"/>
      </w:pPr>
      <w:r>
        <w:rPr>
          <w:rFonts w:ascii="Arial" w:cs="Arial" w:eastAsia="Arial" w:hAnsi="Arial"/>
          <w:sz w:val="24"/>
          <w:szCs w:val="24"/>
        </w:rPr>
        <w:t xml:space="preserve">6.10. После сбора данных Анкеты и обосновывающих технических и финансовых документов (счета по оплате за энергоносители и финансовые отчеты) бюджетных организаций и их территориальных структурных учреждений проводится детальный анализ полученной информации с целью получения достоверной величины лимитов потребления энергоносителей на собственное потребление организации.</w:t>
      </w:r>
    </w:p>
    <w:p>
      <w:pPr>
        <w:spacing w:after="120"/>
        <w:ind w:firstLine="720"/>
        <w:jc w:val="both"/>
      </w:pPr>
      <w:r>
        <w:rPr>
          <w:rFonts w:ascii="Arial" w:cs="Arial" w:eastAsia="Arial" w:hAnsi="Arial"/>
          <w:sz w:val="24"/>
          <w:szCs w:val="24"/>
        </w:rPr>
        <w:t xml:space="preserve">6.11. Достоверные величины лимитов потребления электрической, тепловой энергии и природного газа рассчитывается на основе статистических фактических данных расходов энергопотребления за ряд предшествующих лет (чем большее количество лет, тем лучше) за вычетом фактических данных расходов энергопотребления арендаторов-субабонентов, размещенных в зданиях и помещениях бюджетной организации и доли финансовых средств, оплачиваемых из средств специального счета, полученных за счет платных услуг, выполняющей бюджетной организацией.</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6.1. МЕТОДИКА ОПРЕДЕЛЕНИЯ ДОСТОВЕРНЫХ ВЕЛИЧИН ЛИМИТОВ ПОТРЕБЛЕНИЯ ЭНЕРГОНОСИТЕЛЕЙ</w:t>
      </w:r>
    </w:p>
    <w:p>
      <w:pPr>
        <w:spacing w:after="120"/>
        <w:ind w:firstLine="567"/>
        <w:jc w:val="both"/>
      </w:pPr>
      <w:r>
        <w:rPr>
          <w:rFonts w:ascii="Arial" w:cs="Arial" w:eastAsia="Arial" w:hAnsi="Arial"/>
          <w:sz w:val="24"/>
          <w:szCs w:val="24"/>
        </w:rPr>
        <w:t xml:space="preserve"/>
      </w:r>
    </w:p>
    <w:p>
      <w:r>
        <w:rPr>
          <w:rFonts w:ascii="Arial" w:cs="Arial" w:eastAsia="Arial" w:hAnsi="Arial"/>
          <w:sz w:val="24"/>
          <w:szCs w:val="24"/>
        </w:rPr>
        <w:t xml:space="preserve">Достоверная величина лимитов потребления  энергоносителей (электрическая, тепловая энергия и природный газ) определяется по формуле при нижеследующих условиях:</w:t>
      </w:r>
    </w:p>
    <w:p>
      <w:r>
        <w:rPr>
          <w:rFonts w:ascii="Arial" w:cs="Arial" w:eastAsia="Arial" w:hAnsi="Arial"/>
          <w:sz w:val="24"/>
          <w:szCs w:val="24"/>
        </w:rPr>
        <w:t xml:space="preserve">6.1.1. Если в течение анализируемого периода  и в будущем году условия потребления энергоресурсов бюджетной организацией не меняются и берется как среднеарифметическая величина фактического годового потребления энергоносителя за последние три года за вычетом фактической величины потребления энергоносителей небюджетных организаций (арендаторы – субабоненты) и величины (доли) энергоносителей, оплачиваемой бюджетной организацией из внебюджетных средств (специальный счет за платные услуги и (или) самофинансирования):</w:t>
      </w:r>
    </w:p>
    <w:p>
      <w:r>
        <w:rPr>
          <w:rFonts w:ascii="Arial" w:cs="Arial" w:eastAsia="Arial" w:hAnsi="Arial"/>
          <w:sz w:val="24"/>
          <w:szCs w:val="24"/>
        </w:rPr>
        <w:t xml:space="preserve">Э</w:t>
      </w:r>
    </w:p>
    <w:p>
      <w:r>
        <w:rPr>
          <w:rFonts w:ascii="Arial" w:cs="Arial" w:eastAsia="Arial" w:hAnsi="Arial"/>
          <w:sz w:val="24"/>
          <w:szCs w:val="24"/>
        </w:rPr>
        <w:t xml:space="preserve">д</w:t>
      </w:r>
    </w:p>
    <w:p>
      <w:r>
        <w:rPr>
          <w:rFonts w:ascii="Arial" w:cs="Arial" w:eastAsia="Arial" w:hAnsi="Arial"/>
          <w:sz w:val="24"/>
          <w:szCs w:val="24"/>
        </w:rPr>
        <w:t xml:space="preserve">= (Э</w:t>
      </w:r>
    </w:p>
    <w:p>
      <w:r>
        <w:rPr>
          <w:rFonts w:ascii="Arial" w:cs="Arial" w:eastAsia="Arial" w:hAnsi="Arial"/>
          <w:sz w:val="24"/>
          <w:szCs w:val="24"/>
        </w:rPr>
        <w:t xml:space="preserve">1</w:t>
      </w:r>
    </w:p>
    <w:p>
      <w:r>
        <w:rPr>
          <w:rFonts w:ascii="Arial" w:cs="Arial" w:eastAsia="Arial" w:hAnsi="Arial"/>
          <w:sz w:val="24"/>
          <w:szCs w:val="24"/>
        </w:rPr>
        <w:t xml:space="preserve">+ Э</w:t>
      </w:r>
    </w:p>
    <w:p>
      <w:r>
        <w:rPr>
          <w:rFonts w:ascii="Arial" w:cs="Arial" w:eastAsia="Arial" w:hAnsi="Arial"/>
          <w:sz w:val="24"/>
          <w:szCs w:val="24"/>
        </w:rPr>
        <w:t xml:space="preserve">2</w:t>
      </w:r>
    </w:p>
    <w:p>
      <w:r>
        <w:rPr>
          <w:rFonts w:ascii="Arial" w:cs="Arial" w:eastAsia="Arial" w:hAnsi="Arial"/>
          <w:sz w:val="24"/>
          <w:szCs w:val="24"/>
        </w:rPr>
        <w:t xml:space="preserve">+ Э</w:t>
      </w:r>
    </w:p>
    <w:p>
      <w:r>
        <w:rPr>
          <w:rFonts w:ascii="Arial" w:cs="Arial" w:eastAsia="Arial" w:hAnsi="Arial"/>
          <w:sz w:val="24"/>
          <w:szCs w:val="24"/>
        </w:rPr>
        <w:t xml:space="preserve">3</w:t>
      </w:r>
    </w:p>
    <w:p>
      <w:r>
        <w:rPr>
          <w:rFonts w:ascii="Arial" w:cs="Arial" w:eastAsia="Arial" w:hAnsi="Arial"/>
          <w:sz w:val="24"/>
          <w:szCs w:val="24"/>
        </w:rPr>
        <w:t xml:space="preserve">) : 3 – (Э</w:t>
      </w:r>
    </w:p>
    <w:p>
      <w:r>
        <w:rPr>
          <w:rFonts w:ascii="Arial" w:cs="Arial" w:eastAsia="Arial" w:hAnsi="Arial"/>
          <w:sz w:val="24"/>
          <w:szCs w:val="24"/>
        </w:rPr>
        <w:t xml:space="preserve">ар</w:t>
      </w:r>
    </w:p>
    <w:p>
      <w:r>
        <w:rPr>
          <w:rFonts w:ascii="Arial" w:cs="Arial" w:eastAsia="Arial" w:hAnsi="Arial"/>
          <w:sz w:val="24"/>
          <w:szCs w:val="24"/>
        </w:rPr>
        <w:t xml:space="preserve">+ Э</w:t>
      </w:r>
    </w:p>
    <w:p>
      <w:r>
        <w:rPr>
          <w:rFonts w:ascii="Arial" w:cs="Arial" w:eastAsia="Arial" w:hAnsi="Arial"/>
          <w:sz w:val="24"/>
          <w:szCs w:val="24"/>
        </w:rPr>
        <w:t xml:space="preserve">сс</w:t>
      </w:r>
    </w:p>
    <w:p>
      <w:r>
        <w:rPr>
          <w:rFonts w:ascii="Arial" w:cs="Arial" w:eastAsia="Arial" w:hAnsi="Arial"/>
          <w:sz w:val="24"/>
          <w:szCs w:val="24"/>
        </w:rPr>
        <w:t xml:space="preserve">);   (6.1.)</w:t>
      </w:r>
    </w:p>
    <w:p>
      <w:r>
        <w:rPr>
          <w:rFonts w:ascii="Arial" w:cs="Arial" w:eastAsia="Arial" w:hAnsi="Arial"/>
          <w:sz w:val="24"/>
          <w:szCs w:val="24"/>
        </w:rPr>
        <w:t xml:space="preserve">где</w:t>
      </w:r>
    </w:p>
    <w:p>
      <w:r>
        <w:rPr>
          <w:rFonts w:ascii="Arial" w:cs="Arial" w:eastAsia="Arial" w:hAnsi="Arial"/>
          <w:sz w:val="24"/>
          <w:szCs w:val="24"/>
        </w:rPr>
        <w:t xml:space="preserve">: Э</w:t>
      </w:r>
    </w:p>
    <w:p>
      <w:r>
        <w:rPr>
          <w:rFonts w:ascii="Arial" w:cs="Arial" w:eastAsia="Arial" w:hAnsi="Arial"/>
          <w:sz w:val="24"/>
          <w:szCs w:val="24"/>
        </w:rPr>
        <w:t xml:space="preserve">д</w:t>
      </w:r>
    </w:p>
    <w:p>
      <w:r>
        <w:rPr>
          <w:rFonts w:ascii="Arial" w:cs="Arial" w:eastAsia="Arial" w:hAnsi="Arial"/>
          <w:sz w:val="24"/>
          <w:szCs w:val="24"/>
        </w:rPr>
        <w:t xml:space="preserve">- достоверная величина лимитов потребления энергоносителей (электрическая энергии в тыс.кВтч, тепловая энергии в Гкал,  природный  газ в тыс. м</w:t>
      </w:r>
    </w:p>
    <w:p>
      <w:r>
        <w:rPr>
          <w:rFonts w:ascii="Arial" w:cs="Arial" w:eastAsia="Arial" w:hAnsi="Arial"/>
          <w:sz w:val="24"/>
          <w:szCs w:val="24"/>
        </w:rPr>
        <w:t xml:space="preserve">3</w:t>
      </w:r>
    </w:p>
    <w:p>
      <w:r>
        <w:rPr>
          <w:rFonts w:ascii="Arial" w:cs="Arial" w:eastAsia="Arial" w:hAnsi="Arial"/>
          <w:sz w:val="24"/>
          <w:szCs w:val="24"/>
        </w:rPr>
        <w:t xml:space="preserve">);</w:t>
      </w:r>
    </w:p>
    <w:p>
      <w:r>
        <w:rPr>
          <w:rFonts w:ascii="Arial" w:cs="Arial" w:eastAsia="Arial" w:hAnsi="Arial"/>
          <w:sz w:val="24"/>
          <w:szCs w:val="24"/>
        </w:rPr>
        <w:t xml:space="preserve">Э</w:t>
      </w:r>
    </w:p>
    <w:p>
      <w:r>
        <w:rPr>
          <w:rFonts w:ascii="Arial" w:cs="Arial" w:eastAsia="Arial" w:hAnsi="Arial"/>
          <w:sz w:val="24"/>
          <w:szCs w:val="24"/>
        </w:rPr>
        <w:t xml:space="preserve">1</w:t>
      </w:r>
    </w:p>
    <w:p>
      <w:r>
        <w:rPr>
          <w:rFonts w:ascii="Arial" w:cs="Arial" w:eastAsia="Arial" w:hAnsi="Arial"/>
          <w:sz w:val="24"/>
          <w:szCs w:val="24"/>
        </w:rPr>
        <w:t xml:space="preserve">, Э</w:t>
      </w:r>
    </w:p>
    <w:p>
      <w:r>
        <w:rPr>
          <w:rFonts w:ascii="Arial" w:cs="Arial" w:eastAsia="Arial" w:hAnsi="Arial"/>
          <w:sz w:val="24"/>
          <w:szCs w:val="24"/>
        </w:rPr>
        <w:t xml:space="preserve">2</w:t>
      </w:r>
    </w:p>
    <w:p>
      <w:r>
        <w:rPr>
          <w:rFonts w:ascii="Arial" w:cs="Arial" w:eastAsia="Arial" w:hAnsi="Arial"/>
          <w:sz w:val="24"/>
          <w:szCs w:val="24"/>
        </w:rPr>
        <w:t xml:space="preserve">, Э</w:t>
      </w:r>
    </w:p>
    <w:p>
      <w:r>
        <w:rPr>
          <w:rFonts w:ascii="Arial" w:cs="Arial" w:eastAsia="Arial" w:hAnsi="Arial"/>
          <w:sz w:val="24"/>
          <w:szCs w:val="24"/>
        </w:rPr>
        <w:t xml:space="preserve">3</w:t>
      </w:r>
    </w:p>
    <w:p>
      <w:r>
        <w:rPr>
          <w:rFonts w:ascii="Arial" w:cs="Arial" w:eastAsia="Arial" w:hAnsi="Arial"/>
          <w:sz w:val="24"/>
          <w:szCs w:val="24"/>
        </w:rPr>
        <w:t xml:space="preserve">- фактическое ежегодное потребление энергоносителей (электрическая, тепловая энергия и природный газ), полученные на основании счетов – фактуры по оплате энергоносителей по точкам подключения объектов обследования (коммерческие узлы учета) энергоносителей за последние три года;</w:t>
      </w:r>
    </w:p>
    <w:p>
      <w:r>
        <w:rPr>
          <w:rFonts w:ascii="Arial" w:cs="Arial" w:eastAsia="Arial" w:hAnsi="Arial"/>
          <w:sz w:val="24"/>
          <w:szCs w:val="24"/>
        </w:rPr>
        <w:t xml:space="preserve">Э</w:t>
      </w:r>
    </w:p>
    <w:p>
      <w:r>
        <w:rPr>
          <w:rFonts w:ascii="Arial" w:cs="Arial" w:eastAsia="Arial" w:hAnsi="Arial"/>
          <w:sz w:val="24"/>
          <w:szCs w:val="24"/>
        </w:rPr>
        <w:t xml:space="preserve">ар</w:t>
      </w:r>
    </w:p>
    <w:p>
      <w:r>
        <w:rPr>
          <w:rFonts w:ascii="Arial" w:cs="Arial" w:eastAsia="Arial" w:hAnsi="Arial"/>
          <w:sz w:val="24"/>
          <w:szCs w:val="24"/>
        </w:rPr>
        <w:t xml:space="preserve">- количество  энергоносителей,  потребляемое  субабонентами-арендаторами бюджетной организации (электрическая энергии в кВтч, тепловая энергия в Гкал);</w:t>
      </w:r>
    </w:p>
    <w:p>
      <w:r>
        <w:rPr>
          <w:rFonts w:ascii="Arial" w:cs="Arial" w:eastAsia="Arial" w:hAnsi="Arial"/>
          <w:sz w:val="24"/>
          <w:szCs w:val="24"/>
        </w:rPr>
        <w:t xml:space="preserve">Э</w:t>
      </w:r>
    </w:p>
    <w:p>
      <w:r>
        <w:rPr>
          <w:rFonts w:ascii="Arial" w:cs="Arial" w:eastAsia="Arial" w:hAnsi="Arial"/>
          <w:sz w:val="24"/>
          <w:szCs w:val="24"/>
        </w:rPr>
        <w:t xml:space="preserve">сс</w:t>
      </w:r>
    </w:p>
    <w:p>
      <w:r>
        <w:rPr>
          <w:rFonts w:ascii="Arial" w:cs="Arial" w:eastAsia="Arial" w:hAnsi="Arial"/>
          <w:sz w:val="24"/>
          <w:szCs w:val="24"/>
        </w:rPr>
        <w:t xml:space="preserve">- количество  энергоносителей, оплачиваемое за счет средств специального счета бюджетной организации (электрическая энергии в тыс. кВтч, тепловая энергия в Гкал).</w:t>
      </w:r>
    </w:p>
    <w:p>
      <w:r>
        <w:rPr>
          <w:rFonts w:ascii="Arial" w:cs="Arial" w:eastAsia="Arial" w:hAnsi="Arial"/>
          <w:sz w:val="24"/>
          <w:szCs w:val="24"/>
        </w:rPr>
        <w:t xml:space="preserve">-</w:t>
      </w:r>
    </w:p>
    <w:p>
      <w:r>
        <w:rPr>
          <w:rFonts w:ascii="Arial" w:cs="Arial" w:eastAsia="Arial" w:hAnsi="Arial"/>
          <w:sz w:val="24"/>
          <w:szCs w:val="24"/>
        </w:rPr>
        <w:t xml:space="preserve">если в будущем году</w:t>
      </w:r>
    </w:p>
    <w:p>
      <w:r>
        <w:rPr>
          <w:rFonts w:ascii="Arial" w:cs="Arial" w:eastAsia="Arial" w:hAnsi="Arial"/>
          <w:sz w:val="24"/>
          <w:szCs w:val="24"/>
        </w:rPr>
        <w:t xml:space="preserve">изменяются условия потребления энергоресурсов (прирост) в энергоносителях:</w:t>
      </w:r>
    </w:p>
    <w:p>
      <w:r>
        <w:rPr>
          <w:rFonts w:ascii="Arial" w:cs="Arial" w:eastAsia="Arial" w:hAnsi="Arial"/>
          <w:sz w:val="24"/>
          <w:szCs w:val="24"/>
        </w:rPr>
        <w:t xml:space="preserve">Э</w:t>
      </w:r>
    </w:p>
    <w:p>
      <w:r>
        <w:rPr>
          <w:rFonts w:ascii="Arial" w:cs="Arial" w:eastAsia="Arial" w:hAnsi="Arial"/>
          <w:sz w:val="24"/>
          <w:szCs w:val="24"/>
        </w:rPr>
        <w:t xml:space="preserve">р</w:t>
      </w:r>
    </w:p>
    <w:p>
      <w:r>
        <w:rPr>
          <w:rFonts w:ascii="Arial" w:cs="Arial" w:eastAsia="Arial" w:hAnsi="Arial"/>
          <w:sz w:val="24"/>
          <w:szCs w:val="24"/>
        </w:rPr>
        <w:t xml:space="preserve">= Э</w:t>
      </w:r>
    </w:p>
    <w:p>
      <w:r>
        <w:rPr>
          <w:rFonts w:ascii="Arial" w:cs="Arial" w:eastAsia="Arial" w:hAnsi="Arial"/>
          <w:sz w:val="24"/>
          <w:szCs w:val="24"/>
        </w:rPr>
        <w:t xml:space="preserve">д</w:t>
      </w:r>
    </w:p>
    <w:p>
      <w:r>
        <w:rPr>
          <w:rFonts w:ascii="Arial" w:cs="Arial" w:eastAsia="Arial" w:hAnsi="Arial"/>
          <w:sz w:val="24"/>
          <w:szCs w:val="24"/>
        </w:rPr>
        <w:t xml:space="preserve">+ Э</w:t>
      </w:r>
    </w:p>
    <w:p>
      <w:r>
        <w:rPr>
          <w:rFonts w:ascii="Arial" w:cs="Arial" w:eastAsia="Arial" w:hAnsi="Arial"/>
          <w:sz w:val="24"/>
          <w:szCs w:val="24"/>
        </w:rPr>
        <w:t xml:space="preserve">пр.</w:t>
      </w:r>
    </w:p>
    <w:p>
      <w:r>
        <w:rPr>
          <w:rFonts w:ascii="Arial" w:cs="Arial" w:eastAsia="Arial" w:hAnsi="Arial"/>
          <w:sz w:val="24"/>
          <w:szCs w:val="24"/>
        </w:rPr>
        <w:t xml:space="preserve">;       (6.2.)</w:t>
      </w:r>
    </w:p>
    <w:p>
      <w:r>
        <w:rPr>
          <w:rFonts w:ascii="Arial" w:cs="Arial" w:eastAsia="Arial" w:hAnsi="Arial"/>
          <w:sz w:val="24"/>
          <w:szCs w:val="24"/>
        </w:rPr>
        <w:t xml:space="preserve">- если в будущем году</w:t>
      </w:r>
    </w:p>
    <w:p>
      <w:r>
        <w:rPr>
          <w:rFonts w:ascii="Arial" w:cs="Arial" w:eastAsia="Arial" w:hAnsi="Arial"/>
          <w:sz w:val="24"/>
          <w:szCs w:val="24"/>
        </w:rPr>
        <w:t xml:space="preserve">снижается  потребность в энергоносителях:</w:t>
      </w:r>
    </w:p>
    <w:p>
      <w:r>
        <w:rPr>
          <w:rFonts w:ascii="Arial" w:cs="Arial" w:eastAsia="Arial" w:hAnsi="Arial"/>
          <w:sz w:val="24"/>
          <w:szCs w:val="24"/>
        </w:rPr>
        <w:t xml:space="preserve">Э</w:t>
      </w:r>
    </w:p>
    <w:p>
      <w:r>
        <w:rPr>
          <w:rFonts w:ascii="Arial" w:cs="Arial" w:eastAsia="Arial" w:hAnsi="Arial"/>
          <w:sz w:val="24"/>
          <w:szCs w:val="24"/>
        </w:rPr>
        <w:t xml:space="preserve">р</w:t>
      </w:r>
    </w:p>
    <w:p>
      <w:r>
        <w:rPr>
          <w:rFonts w:ascii="Arial" w:cs="Arial" w:eastAsia="Arial" w:hAnsi="Arial"/>
          <w:sz w:val="24"/>
          <w:szCs w:val="24"/>
        </w:rPr>
        <w:t xml:space="preserve">= Э</w:t>
      </w:r>
    </w:p>
    <w:p>
      <w:r>
        <w:rPr>
          <w:rFonts w:ascii="Arial" w:cs="Arial" w:eastAsia="Arial" w:hAnsi="Arial"/>
          <w:sz w:val="24"/>
          <w:szCs w:val="24"/>
        </w:rPr>
        <w:t xml:space="preserve">д</w:t>
      </w:r>
    </w:p>
    <w:p>
      <w:r>
        <w:rPr>
          <w:rFonts w:ascii="Arial" w:cs="Arial" w:eastAsia="Arial" w:hAnsi="Arial"/>
          <w:sz w:val="24"/>
          <w:szCs w:val="24"/>
        </w:rPr>
        <w:t xml:space="preserve">-  Э</w:t>
      </w:r>
    </w:p>
    <w:p>
      <w:r>
        <w:rPr>
          <w:rFonts w:ascii="Arial" w:cs="Arial" w:eastAsia="Arial" w:hAnsi="Arial"/>
          <w:sz w:val="24"/>
          <w:szCs w:val="24"/>
        </w:rPr>
        <w:t xml:space="preserve">сн.</w:t>
      </w:r>
    </w:p>
    <w:p>
      <w:r>
        <w:rPr>
          <w:rFonts w:ascii="Arial" w:cs="Arial" w:eastAsia="Arial" w:hAnsi="Arial"/>
          <w:sz w:val="24"/>
          <w:szCs w:val="24"/>
        </w:rPr>
        <w:t xml:space="preserve">;       (6.3.)</w:t>
      </w:r>
    </w:p>
    <w:p>
      <w:r>
        <w:rPr>
          <w:rFonts w:ascii="Arial" w:cs="Arial" w:eastAsia="Arial" w:hAnsi="Arial"/>
          <w:sz w:val="24"/>
          <w:szCs w:val="24"/>
        </w:rPr>
        <w:t xml:space="preserve">где</w:t>
      </w:r>
    </w:p>
    <w:p>
      <w:r>
        <w:rPr>
          <w:rFonts w:ascii="Arial" w:cs="Arial" w:eastAsia="Arial" w:hAnsi="Arial"/>
          <w:sz w:val="24"/>
          <w:szCs w:val="24"/>
        </w:rPr>
        <w:t xml:space="preserve">:</w:t>
      </w:r>
    </w:p>
    <w:p>
      <w:r>
        <w:rPr>
          <w:rFonts w:ascii="Arial" w:cs="Arial" w:eastAsia="Arial" w:hAnsi="Arial"/>
          <w:sz w:val="24"/>
          <w:szCs w:val="24"/>
        </w:rPr>
        <w:t xml:space="preserve">Э</w:t>
      </w:r>
    </w:p>
    <w:p>
      <w:r>
        <w:rPr>
          <w:rFonts w:ascii="Arial" w:cs="Arial" w:eastAsia="Arial" w:hAnsi="Arial"/>
          <w:sz w:val="24"/>
          <w:szCs w:val="24"/>
        </w:rPr>
        <w:t xml:space="preserve">д</w:t>
      </w:r>
    </w:p>
    <w:p>
      <w:r>
        <w:rPr>
          <w:rFonts w:ascii="Arial" w:cs="Arial" w:eastAsia="Arial" w:hAnsi="Arial"/>
          <w:sz w:val="24"/>
          <w:szCs w:val="24"/>
        </w:rPr>
        <w:t xml:space="preserve">- достоверная величина лимитов потребления энергоносителей (электрическая энергия в тыс. кВтч, тепловая энергия в Гкал, природный газ в тыс. м</w:t>
      </w:r>
    </w:p>
    <w:p>
      <w:r>
        <w:rPr>
          <w:rFonts w:ascii="Arial" w:cs="Arial" w:eastAsia="Arial" w:hAnsi="Arial"/>
          <w:sz w:val="24"/>
          <w:szCs w:val="24"/>
        </w:rPr>
        <w:t xml:space="preserve">3</w:t>
      </w:r>
    </w:p>
    <w:p>
      <w:r>
        <w:rPr>
          <w:rFonts w:ascii="Arial" w:cs="Arial" w:eastAsia="Arial" w:hAnsi="Arial"/>
          <w:sz w:val="24"/>
          <w:szCs w:val="24"/>
        </w:rPr>
        <w:t xml:space="preserve">), рассчитанная по формуле 6.1. настоящей Методики;</w:t>
      </w:r>
    </w:p>
    <w:p>
      <w:r>
        <w:rPr>
          <w:rFonts w:ascii="Arial" w:cs="Arial" w:eastAsia="Arial" w:hAnsi="Arial"/>
          <w:sz w:val="24"/>
          <w:szCs w:val="24"/>
        </w:rPr>
        <w:t xml:space="preserve">Эр</w:t>
      </w:r>
    </w:p>
    <w:p>
      <w:r>
        <w:rPr>
          <w:rFonts w:ascii="Arial" w:cs="Arial" w:eastAsia="Arial" w:hAnsi="Arial"/>
          <w:sz w:val="24"/>
          <w:szCs w:val="24"/>
        </w:rPr>
        <w:t xml:space="preserve">- расчетная потребность энергоносителей при изменении условий потребления (электрическая энергия в тыс. кВтч, тепловая энергия в Гкал, природный газ в тыс. м</w:t>
      </w:r>
    </w:p>
    <w:p>
      <w:r>
        <w:rPr>
          <w:rFonts w:ascii="Arial" w:cs="Arial" w:eastAsia="Arial" w:hAnsi="Arial"/>
          <w:sz w:val="24"/>
          <w:szCs w:val="24"/>
        </w:rPr>
        <w:t xml:space="preserve">3</w:t>
      </w:r>
    </w:p>
    <w:p>
      <w:r>
        <w:rPr>
          <w:rFonts w:ascii="Arial" w:cs="Arial" w:eastAsia="Arial" w:hAnsi="Arial"/>
          <w:sz w:val="24"/>
          <w:szCs w:val="24"/>
        </w:rPr>
        <w:t xml:space="preserve">);</w:t>
      </w:r>
    </w:p>
    <w:p>
      <w:r>
        <w:rPr>
          <w:rFonts w:ascii="Arial" w:cs="Arial" w:eastAsia="Arial" w:hAnsi="Arial"/>
          <w:sz w:val="24"/>
          <w:szCs w:val="24"/>
        </w:rPr>
        <w:t xml:space="preserve">Э</w:t>
      </w:r>
    </w:p>
    <w:p>
      <w:r>
        <w:rPr>
          <w:rFonts w:ascii="Arial" w:cs="Arial" w:eastAsia="Arial" w:hAnsi="Arial"/>
          <w:sz w:val="24"/>
          <w:szCs w:val="24"/>
        </w:rPr>
        <w:t xml:space="preserve">пр</w:t>
      </w:r>
    </w:p>
    <w:p>
      <w:r>
        <w:rPr>
          <w:rFonts w:ascii="Arial" w:cs="Arial" w:eastAsia="Arial" w:hAnsi="Arial"/>
          <w:sz w:val="24"/>
          <w:szCs w:val="24"/>
        </w:rPr>
        <w:t xml:space="preserve">и Э</w:t>
      </w:r>
    </w:p>
    <w:p>
      <w:r>
        <w:rPr>
          <w:rFonts w:ascii="Arial" w:cs="Arial" w:eastAsia="Arial" w:hAnsi="Arial"/>
          <w:sz w:val="24"/>
          <w:szCs w:val="24"/>
        </w:rPr>
        <w:t xml:space="preserve">сн.</w:t>
      </w:r>
    </w:p>
    <w:p>
      <w:r>
        <w:rPr>
          <w:rFonts w:ascii="Arial" w:cs="Arial" w:eastAsia="Arial" w:hAnsi="Arial"/>
          <w:sz w:val="24"/>
          <w:szCs w:val="24"/>
        </w:rPr>
        <w:t xml:space="preserve">- изменение (прирост и снижение) потребности в каждом виде энергоресурсов на расчетный год.</w:t>
      </w:r>
    </w:p>
    <w:p>
      <w:pPr>
        <w:spacing w:after="120"/>
        <w:ind w:firstLine="720"/>
        <w:jc w:val="both"/>
      </w:pPr>
      <w:r>
        <w:rPr>
          <w:rFonts w:ascii="Arial" w:cs="Arial" w:eastAsia="Arial" w:hAnsi="Arial"/>
          <w:sz w:val="24"/>
          <w:szCs w:val="24"/>
        </w:rPr>
        <w:t xml:space="preserve">6.1.2. Утверждение лимитов потребления энергоносителей (электрическая, тепловая энергия и природный газ) осуществляется уполномоченными государственными органами в области энергетики и финансов на основе достоверных величин лимитов потребления энергоносителей, полученных в ходе энергетического обследования бюджетных организаций.</w:t>
      </w:r>
    </w:p>
    <w:p>
      <w:pPr>
        <w:spacing w:after="120"/>
        <w:ind w:firstLine="720"/>
        <w:jc w:val="both"/>
      </w:pPr>
      <w:r>
        <w:rPr>
          <w:rFonts w:ascii="Arial" w:cs="Arial" w:eastAsia="Arial" w:hAnsi="Arial"/>
          <w:sz w:val="24"/>
          <w:szCs w:val="24"/>
        </w:rPr>
        <w:t xml:space="preserve">6.1.3. Допускается корректировка утвержденных лимитов потребления энергоносителей (электрическая, тепловая энергия и природный газ) в случаях изменений (прироста или снижения) энергоносителей, достоверная величина которых определяется ходе энергетического обследования.</w:t>
      </w:r>
    </w:p>
    <w:p>
      <w:pPr>
        <w:spacing w:after="120"/>
        <w:ind w:firstLine="720"/>
        <w:jc w:val="both"/>
      </w:pPr>
      <w:r>
        <w:rPr>
          <w:rFonts w:ascii="Arial" w:cs="Arial" w:eastAsia="Arial" w:hAnsi="Arial"/>
          <w:sz w:val="24"/>
          <w:szCs w:val="24"/>
        </w:rPr>
        <w:t xml:space="preserve">6.1.4. Достоверные величины лимитов потребления энергоносителей, оформленные в Отчете по энергетическому обследованию утверждаются решением Ученого Совета НИИЭ и направляются в виде рекомендаций в уполномоченные государственные органы по энергетики и по финансам для дальнейшего принятия решения и их утверждения.</w:t>
      </w:r>
    </w:p>
    <w:p>
      <w:pPr>
        <w:spacing w:after="120"/>
        <w:ind w:firstLine="720"/>
        <w:jc w:val="both"/>
      </w:pPr>
      <w:r>
        <w:rPr>
          <w:rFonts w:ascii="Arial" w:cs="Arial" w:eastAsia="Arial" w:hAnsi="Arial"/>
          <w:sz w:val="24"/>
          <w:szCs w:val="24"/>
        </w:rPr>
        <w:t xml:space="preserve">6.1.5. Отчет научно-исследовательской работы по энергоаудиту бюджетных организаций оформляется в соответствии с действующими нормативными правовыми актами.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ПОРЯДОК ЗАПОЛНЕНИЯ АНКЕТЫ ПО ЭНЕРГОАУДИТУ</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7.1. Типовая форма </w:t>
      </w:r>
      <w:r>
        <w:rPr>
          <w:rFonts w:ascii="Arial" w:cs="Arial" w:eastAsia="Arial" w:hAnsi="Arial"/>
          <w:b/>
          <w:bCs/>
          <w:sz w:val="24"/>
          <w:szCs w:val="24"/>
        </w:rPr>
        <w:t xml:space="preserve">Анкеты по энергетическому обследованию (Анкета</w:t>
      </w:r>
      <w:r>
        <w:rPr>
          <w:rFonts w:ascii="Arial" w:cs="Arial" w:eastAsia="Arial" w:hAnsi="Arial"/>
          <w:sz w:val="24"/>
          <w:szCs w:val="24"/>
        </w:rPr>
        <w:t xml:space="preserve">) заполняется персоналом и утверждается руководством бюджетной организации согласно типовой форме, представленной в настоящей Методики. </w:t>
      </w:r>
    </w:p>
    <w:p>
      <w:pPr>
        <w:spacing w:after="120"/>
        <w:ind w:firstLine="720"/>
        <w:jc w:val="both"/>
      </w:pPr>
      <w:r>
        <w:rPr>
          <w:rFonts w:ascii="Arial" w:cs="Arial" w:eastAsia="Arial" w:hAnsi="Arial"/>
          <w:sz w:val="24"/>
          <w:szCs w:val="24"/>
        </w:rPr>
        <w:t xml:space="preserve">7.2. Анкета заполняется в виде таблиц в разрезе бюджетной организации и ее структурных территориальных подразделений, включая г. Бишкек для отдельно стоящих зданий и сооружений, находящихся на их балансе.</w:t>
      </w:r>
    </w:p>
    <w:p>
      <w:pPr>
        <w:spacing w:after="120"/>
        <w:ind w:firstLine="720"/>
        <w:jc w:val="both"/>
      </w:pPr>
      <w:r>
        <w:rPr>
          <w:rFonts w:ascii="Arial" w:cs="Arial" w:eastAsia="Arial" w:hAnsi="Arial"/>
          <w:sz w:val="24"/>
          <w:szCs w:val="24"/>
        </w:rPr>
        <w:t xml:space="preserve">7.3. В Анкету входят разделы, описывающие объекты энергоаудита, системы энерго-, тепло- и газоснабжения, технические характеристики зданий и сооружений, фактические данные энергоносителей (электрическая,тепловая энергия, природный газ, уголь и другие данные энергосителей за последние 3 года).</w:t>
      </w:r>
    </w:p>
    <w:p>
      <w:pPr>
        <w:spacing w:after="120"/>
        <w:ind w:firstLine="720"/>
        <w:jc w:val="both"/>
      </w:pPr>
      <w:r>
        <w:rPr>
          <w:rFonts w:ascii="Arial" w:cs="Arial" w:eastAsia="Arial" w:hAnsi="Arial"/>
          <w:sz w:val="24"/>
          <w:szCs w:val="24"/>
        </w:rPr>
        <w:t xml:space="preserve">7.4. Ниже приводится описание по заполнению таблиц разделов Анкеты по энергоаудиту.</w:t>
      </w:r>
    </w:p>
    <w:p>
      <w:pPr>
        <w:spacing w:after="120"/>
        <w:ind w:firstLine="720"/>
        <w:jc w:val="both"/>
      </w:pPr>
      <w:r>
        <w:rPr>
          <w:rFonts w:ascii="Arial" w:cs="Arial" w:eastAsia="Arial" w:hAnsi="Arial"/>
          <w:b/>
          <w:bCs/>
          <w:sz w:val="24"/>
          <w:szCs w:val="24"/>
        </w:rPr>
        <w:t xml:space="preserve">I</w:t>
      </w:r>
      <w:r>
        <w:rPr>
          <w:rFonts w:ascii="Arial" w:cs="Arial" w:eastAsia="Arial" w:hAnsi="Arial"/>
          <w:b/>
          <w:bCs/>
          <w:sz w:val="24"/>
          <w:szCs w:val="24"/>
        </w:rPr>
        <w:t xml:space="preserve">. В разделе «Общая информация» табл. 7.1. указывается:</w:t>
      </w:r>
    </w:p>
    <w:p>
      <w:pPr>
        <w:spacing w:after="120"/>
        <w:ind w:firstLine="720"/>
        <w:jc w:val="both"/>
      </w:pPr>
      <w:r>
        <w:rPr>
          <w:rFonts w:ascii="Arial" w:cs="Arial" w:eastAsia="Arial" w:hAnsi="Arial"/>
          <w:sz w:val="24"/>
          <w:szCs w:val="24"/>
        </w:rPr>
        <w:t xml:space="preserve">1.1. Полное наименование бюджетной организации согласно данным свидетельства о юридической регистрации.</w:t>
      </w:r>
    </w:p>
    <w:p>
      <w:pPr>
        <w:spacing w:after="120"/>
        <w:ind w:firstLine="720"/>
        <w:jc w:val="both"/>
      </w:pPr>
      <w:r>
        <w:rPr>
          <w:rFonts w:ascii="Arial" w:cs="Arial" w:eastAsia="Arial" w:hAnsi="Arial"/>
          <w:sz w:val="24"/>
          <w:szCs w:val="24"/>
        </w:rPr>
        <w:t xml:space="preserve">1.2. Информация о вводе в эксплуатацию административного здания бюджетной организации согласно технического паспорта.</w:t>
      </w:r>
    </w:p>
    <w:p>
      <w:pPr>
        <w:spacing w:after="120"/>
        <w:ind w:firstLine="720"/>
        <w:jc w:val="both"/>
      </w:pPr>
      <w:r>
        <w:rPr>
          <w:rFonts w:ascii="Arial" w:cs="Arial" w:eastAsia="Arial" w:hAnsi="Arial"/>
          <w:sz w:val="24"/>
          <w:szCs w:val="24"/>
        </w:rPr>
        <w:t xml:space="preserve">1.3. Исторические данные является Приложением к Анкете и включают краткую информацию об организации, правовой документации, составляющей основу для ее деятельности, структуре, функциональном предназначение, даты образования, информация о поставщиках энергоносителей, договора относительно систем электро- и теплоснабжения, газооборудования и другая информация, описанная в разлелах таблиц Анкеты.</w:t>
      </w:r>
    </w:p>
    <w:p>
      <w:pPr>
        <w:spacing w:after="120"/>
        <w:ind w:firstLine="7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ОБЩАЯ ИНФОРМАЦИЯ</w:t>
      </w:r>
    </w:p>
    <w:p>
      <w:pPr>
        <w:spacing w:after="120"/>
        <w:jc w:val="right"/>
      </w:pPr>
      <w:r>
        <w:rPr>
          <w:rFonts w:ascii="Arial" w:cs="Arial" w:eastAsia="Arial" w:hAnsi="Arial"/>
          <w:sz w:val="24"/>
          <w:szCs w:val="24"/>
        </w:rPr>
        <w:t xml:space="preserve">Таблица 7.1.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3"/>
        <w:gridCol w:w="4867"/>
        <w:gridCol w:w="4278"/>
      </w:tblGrid>
      <w:tr>
        <w:tc>
          <w:tcPr>
            <w:tcW w:type="dxa" w:w="103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8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предприятия: </w:t>
            </w:r>
          </w:p>
        </w:tc>
        <w:tc>
          <w:tcPr>
            <w:tcW w:type="dxa" w:w="42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ввода в эксплуатацию здания (сооружения)</w:t>
            </w:r>
          </w:p>
        </w:tc>
        <w:tc>
          <w:tcPr>
            <w:tcW w:type="dxa" w:w="4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8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Исторические данные:</w:t>
            </w:r>
          </w:p>
        </w:tc>
        <w:tc>
          <w:tcPr>
            <w:tcW w:type="dxa" w:w="4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Приложение к Анкете</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II</w:t>
      </w:r>
      <w:r>
        <w:rPr>
          <w:rFonts w:ascii="Arial" w:cs="Arial" w:eastAsia="Arial" w:hAnsi="Arial"/>
          <w:b/>
          <w:bCs/>
          <w:sz w:val="24"/>
          <w:szCs w:val="24"/>
        </w:rPr>
        <w:t xml:space="preserve">. В разделе «Основные данные» таблицы 7.2. указываются:</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2.1. Фактический юридический адрес здания или объекта энергоаудита, документации, подтверждающие собственность земельного участка и здания, площадь земельного участка и другие документы.</w:t>
      </w:r>
    </w:p>
    <w:p>
      <w:pPr>
        <w:spacing w:after="120"/>
        <w:ind w:firstLine="720"/>
        <w:jc w:val="both"/>
      </w:pPr>
      <w:r>
        <w:rPr>
          <w:rFonts w:ascii="Arial" w:cs="Arial" w:eastAsia="Arial" w:hAnsi="Arial"/>
          <w:sz w:val="24"/>
          <w:szCs w:val="24"/>
        </w:rPr>
        <w:t xml:space="preserve">2.2. Сведения, подтверждающие собственность владельца и регистрации объекта/здания.</w:t>
      </w:r>
    </w:p>
    <w:p>
      <w:pPr>
        <w:spacing w:after="120"/>
        <w:ind w:firstLine="720"/>
        <w:jc w:val="both"/>
      </w:pPr>
      <w:r>
        <w:rPr>
          <w:rFonts w:ascii="Arial" w:cs="Arial" w:eastAsia="Arial" w:hAnsi="Arial"/>
          <w:sz w:val="24"/>
          <w:szCs w:val="24"/>
        </w:rPr>
        <w:t xml:space="preserve">2.3. Контактные данные руководства и ответственных лиц объекта.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ОСНОВНЫЕ ДАННЫЕ</w:t>
      </w:r>
    </w:p>
    <w:p>
      <w:pPr>
        <w:spacing w:after="120"/>
        <w:ind w:firstLine="708"/>
        <w:jc w:val="right"/>
      </w:pPr>
      <w:r>
        <w:rPr>
          <w:rFonts w:ascii="Arial" w:cs="Arial" w:eastAsia="Arial" w:hAnsi="Arial"/>
          <w:sz w:val="24"/>
          <w:szCs w:val="24"/>
        </w:rPr>
        <w:t xml:space="preserve">Таблица 7.2.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3"/>
        <w:gridCol w:w="3223"/>
        <w:gridCol w:w="3700"/>
        <w:gridCol w:w="16"/>
        <w:gridCol w:w="16"/>
      </w:tblGrid>
      <w:tr>
        <w:tc>
          <w:tcPr>
            <w:tcW w:type="dxa" w:w="6446"/>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2.1 Юридический адрес/ здания / объекта энергоаудита</w:t>
            </w:r>
          </w:p>
        </w:tc>
        <w:tc>
          <w:tcPr>
            <w:tcW w:type="dxa" w:w="3700"/>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3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2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Город:</w:t>
            </w:r>
          </w:p>
        </w:tc>
        <w:tc>
          <w:tcPr>
            <w:tcW w:type="dxa" w:w="322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Улица:</w:t>
            </w:r>
          </w:p>
        </w:tc>
        <w:tc>
          <w:tcPr>
            <w:tcW w:type="dxa" w:w="3716"/>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Дом №:</w:t>
            </w:r>
          </w:p>
        </w:tc>
        <w:tc>
          <w:tcPr>
            <w:tcW w:type="dxa" w:w="1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322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2.2 Владелец здания:</w:t>
            </w:r>
          </w:p>
        </w:tc>
        <w:tc>
          <w:tcPr>
            <w:tcW w:type="dxa" w:w="6955"/>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2.3 Контактное лицо:</w:t>
            </w:r>
          </w:p>
        </w:tc>
        <w:tc>
          <w:tcPr>
            <w:tcW w:type="dxa" w:w="322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1.___________________</w:t>
            </w:r>
          </w:p>
          <w:p>
            <w:pPr>
              <w:jc w:val="both"/>
            </w:pPr>
            <w:r>
              <w:rPr>
                <w:rFonts w:ascii="Arial" w:cs="Arial" w:eastAsia="Arial" w:hAnsi="Arial"/>
                <w:sz w:val="24"/>
                <w:szCs w:val="24"/>
              </w:rPr>
              <w:t xml:space="preserve">2.___________________</w:t>
            </w:r>
          </w:p>
          <w:p>
            <w:pPr>
              <w:jc w:val="both"/>
            </w:pPr>
            <w:r>
              <w:rPr>
                <w:rFonts w:ascii="Arial" w:cs="Arial" w:eastAsia="Arial" w:hAnsi="Arial"/>
                <w:sz w:val="24"/>
                <w:szCs w:val="24"/>
              </w:rPr>
              <w:t xml:space="preserve"> и  т. д.______________</w:t>
            </w:r>
          </w:p>
        </w:tc>
        <w:tc>
          <w:tcPr>
            <w:tcW w:type="dxa" w:w="3716"/>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Должности:</w:t>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Телефоны мобильные:</w:t>
            </w:r>
          </w:p>
        </w:tc>
        <w:tc>
          <w:tcPr>
            <w:tcW w:type="dxa" w:w="3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2. и т.д.</w:t>
            </w:r>
          </w:p>
        </w:tc>
        <w:tc>
          <w:tcPr>
            <w:tcW w:type="dxa" w:w="37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Электронная почта:</w:t>
            </w:r>
          </w:p>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8"/>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III</w:t>
      </w:r>
      <w:r>
        <w:rPr>
          <w:rFonts w:ascii="Arial" w:cs="Arial" w:eastAsia="Arial" w:hAnsi="Arial"/>
          <w:b/>
          <w:bCs/>
          <w:sz w:val="24"/>
          <w:szCs w:val="24"/>
        </w:rPr>
        <w:t xml:space="preserve">. В разделе «Тип здания» (табл. 7.3.)</w:t>
      </w:r>
    </w:p>
    <w:p>
      <w:pPr>
        <w:spacing w:after="240" w:before="20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3.1. Приводится перечень отдельно взятых зданий и сооружений, находящихся на балансе объекта энергоаудита, (площади зданий, включая арендаторов и др.) согласно техническому паспорту.</w:t>
      </w:r>
    </w:p>
    <w:p>
      <w:pPr>
        <w:spacing w:after="120"/>
        <w:ind w:firstLine="720"/>
        <w:jc w:val="both"/>
      </w:pPr>
      <w:r>
        <w:rPr>
          <w:rFonts w:ascii="Arial" w:cs="Arial" w:eastAsia="Arial" w:hAnsi="Arial"/>
          <w:sz w:val="24"/>
          <w:szCs w:val="24"/>
        </w:rPr>
        <w:t xml:space="preserve">3.2. Фактический адрес отдельно взятого здания и сооружения (площади) с указанием площади по наружному обмеру согласно Технического паспорта здания и сооружения (табл. 2) в </w:t>
      </w:r>
      <w:r>
        <w:rPr>
          <w:rFonts w:ascii="Arial" w:cs="Arial" w:eastAsia="Arial" w:hAnsi="Arial"/>
          <w:b/>
          <w:bCs/>
          <w:sz w:val="24"/>
          <w:szCs w:val="24"/>
        </w:rPr>
        <w:t xml:space="preserve">S</w:t>
      </w:r>
      <w:r>
        <w:rPr>
          <w:rFonts w:ascii="Arial" w:cs="Arial" w:eastAsia="Arial" w:hAnsi="Arial"/>
          <w:b/>
          <w:bCs/>
          <w:sz w:val="24"/>
          <w:szCs w:val="24"/>
        </w:rPr>
        <w:t xml:space="preserve">н </w:t>
      </w:r>
      <w:r>
        <w:rPr>
          <w:rFonts w:ascii="Arial" w:cs="Arial" w:eastAsia="Arial" w:hAnsi="Arial"/>
          <w:b/>
          <w:bCs/>
          <w:sz w:val="24"/>
          <w:szCs w:val="24"/>
        </w:rPr>
        <w:t xml:space="preserve">(м</w:t>
      </w:r>
      <w:r>
        <w:rPr>
          <w:rFonts w:ascii="Arial" w:cs="Arial" w:eastAsia="Arial" w:hAnsi="Arial"/>
          <w:b/>
          <w:bCs/>
          <w:sz w:val="24"/>
          <w:szCs w:val="24"/>
        </w:rPr>
        <w:t xml:space="preserve">2 </w:t>
      </w:r>
      <w:r>
        <w:rPr>
          <w:rFonts w:ascii="Arial" w:cs="Arial" w:eastAsia="Arial" w:hAnsi="Arial"/>
          <w:b/>
          <w:bCs/>
          <w:sz w:val="24"/>
          <w:szCs w:val="24"/>
        </w:rPr>
        <w:t xml:space="preserve">), а также </w:t>
      </w:r>
      <w:r>
        <w:rPr>
          <w:rFonts w:ascii="Arial" w:cs="Arial" w:eastAsia="Arial" w:hAnsi="Arial"/>
          <w:sz w:val="24"/>
          <w:szCs w:val="24"/>
        </w:rPr>
        <w:t xml:space="preserve">строительный объем по наружному обмеру </w:t>
      </w:r>
      <w:r>
        <w:rPr>
          <w:rFonts w:ascii="Arial" w:cs="Arial" w:eastAsia="Arial" w:hAnsi="Arial"/>
          <w:b/>
          <w:bCs/>
          <w:sz w:val="24"/>
          <w:szCs w:val="24"/>
        </w:rPr>
        <w:t xml:space="preserve">V</w:t>
      </w:r>
      <w:r>
        <w:rPr>
          <w:rFonts w:ascii="Arial" w:cs="Arial" w:eastAsia="Arial" w:hAnsi="Arial"/>
          <w:b/>
          <w:bCs/>
          <w:sz w:val="24"/>
          <w:szCs w:val="24"/>
        </w:rPr>
        <w:t xml:space="preserve">н </w:t>
      </w:r>
      <w:r>
        <w:rPr>
          <w:rFonts w:ascii="Arial" w:cs="Arial" w:eastAsia="Arial" w:hAnsi="Arial"/>
          <w:b/>
          <w:bCs/>
          <w:sz w:val="24"/>
          <w:szCs w:val="24"/>
        </w:rPr>
        <w:t xml:space="preserve">(м</w:t>
      </w:r>
      <w:r>
        <w:rPr>
          <w:rFonts w:ascii="Arial" w:cs="Arial" w:eastAsia="Arial" w:hAnsi="Arial"/>
          <w:b/>
          <w:bCs/>
          <w:sz w:val="24"/>
          <w:szCs w:val="24"/>
        </w:rPr>
        <w:t xml:space="preserve">3</w:t>
      </w:r>
      <w:r>
        <w:rPr>
          <w:rFonts w:ascii="Arial" w:cs="Arial" w:eastAsia="Arial" w:hAnsi="Arial"/>
          <w:b/>
          <w:bCs/>
          <w:sz w:val="24"/>
          <w:szCs w:val="24"/>
        </w:rPr>
        <w:t xml:space="preserve">), который определяется </w:t>
      </w:r>
      <w:r>
        <w:rPr>
          <w:rFonts w:ascii="Arial" w:cs="Arial" w:eastAsia="Arial" w:hAnsi="Arial"/>
          <w:sz w:val="24"/>
          <w:szCs w:val="24"/>
        </w:rPr>
        <w:t xml:space="preserve">  по формуле </w:t>
      </w:r>
      <w:r>
        <w:rPr>
          <w:rFonts w:ascii="Arial" w:cs="Arial" w:eastAsia="Arial" w:hAnsi="Arial"/>
          <w:b/>
          <w:bCs/>
          <w:sz w:val="24"/>
          <w:szCs w:val="24"/>
        </w:rPr>
        <w:t xml:space="preserve">V</w:t>
      </w:r>
      <w:r>
        <w:rPr>
          <w:rFonts w:ascii="Arial" w:cs="Arial" w:eastAsia="Arial" w:hAnsi="Arial"/>
          <w:b/>
          <w:bCs/>
          <w:sz w:val="24"/>
          <w:szCs w:val="24"/>
        </w:rPr>
        <w:t xml:space="preserve">н </w:t>
      </w:r>
      <w:r>
        <w:rPr>
          <w:rFonts w:ascii="Arial" w:cs="Arial" w:eastAsia="Arial" w:hAnsi="Arial"/>
          <w:b/>
          <w:bCs/>
          <w:sz w:val="24"/>
          <w:szCs w:val="24"/>
        </w:rPr>
        <w:t xml:space="preserve">=  </w:t>
      </w:r>
      <w:r>
        <w:rPr>
          <w:rFonts w:ascii="Arial" w:cs="Arial" w:eastAsia="Arial" w:hAnsi="Arial"/>
          <w:b/>
          <w:bCs/>
          <w:sz w:val="24"/>
          <w:szCs w:val="24"/>
        </w:rPr>
        <w:t xml:space="preserve">S</w:t>
      </w:r>
      <w:r>
        <w:rPr>
          <w:rFonts w:ascii="Arial" w:cs="Arial" w:eastAsia="Arial" w:hAnsi="Arial"/>
          <w:b/>
          <w:bCs/>
          <w:sz w:val="24"/>
          <w:szCs w:val="24"/>
        </w:rPr>
        <w:t xml:space="preserve">н</w:t>
      </w:r>
      <w:r>
        <w:rPr>
          <w:rFonts w:ascii="Arial" w:cs="Arial" w:eastAsia="Arial" w:hAnsi="Arial"/>
          <w:b/>
          <w:bCs/>
          <w:sz w:val="24"/>
          <w:szCs w:val="24"/>
        </w:rPr>
        <w:t xml:space="preserve">*</w:t>
      </w:r>
      <w:r>
        <w:rPr>
          <w:rFonts w:ascii="Arial" w:cs="Arial" w:eastAsia="Arial" w:hAnsi="Arial"/>
          <w:b/>
          <w:bCs/>
          <w:sz w:val="24"/>
          <w:szCs w:val="24"/>
        </w:rPr>
        <w:t xml:space="preserve">h</w:t>
      </w:r>
      <w:r>
        <w:rPr>
          <w:rFonts w:ascii="Arial" w:cs="Arial" w:eastAsia="Arial" w:hAnsi="Arial"/>
          <w:b/>
          <w:bCs/>
          <w:sz w:val="24"/>
          <w:szCs w:val="24"/>
        </w:rPr>
        <w:t xml:space="preserve">н</w:t>
      </w:r>
      <w:r>
        <w:rPr>
          <w:rFonts w:ascii="Arial" w:cs="Arial" w:eastAsia="Arial" w:hAnsi="Arial"/>
          <w:b/>
          <w:bCs/>
          <w:sz w:val="24"/>
          <w:szCs w:val="24"/>
        </w:rPr>
        <w:t xml:space="preserve"> (м</w:t>
      </w:r>
      <w:r>
        <w:rPr>
          <w:rFonts w:ascii="Arial" w:cs="Arial" w:eastAsia="Arial" w:hAnsi="Arial"/>
          <w:b/>
          <w:bCs/>
          <w:sz w:val="24"/>
          <w:szCs w:val="24"/>
        </w:rPr>
        <w:t xml:space="preserve">3</w:t>
      </w:r>
      <w:r>
        <w:rPr>
          <w:rFonts w:ascii="Arial" w:cs="Arial" w:eastAsia="Arial" w:hAnsi="Arial"/>
          <w:b/>
          <w:bCs/>
          <w:sz w:val="24"/>
          <w:szCs w:val="24"/>
        </w:rPr>
        <w:t xml:space="preserve">), </w:t>
      </w:r>
      <w:r>
        <w:rPr>
          <w:rFonts w:ascii="Arial" w:cs="Arial" w:eastAsia="Arial" w:hAnsi="Arial"/>
          <w:sz w:val="24"/>
          <w:szCs w:val="24"/>
        </w:rPr>
        <w:t xml:space="preserve">где </w:t>
      </w:r>
      <w:r>
        <w:rPr>
          <w:rFonts w:ascii="Arial" w:cs="Arial" w:eastAsia="Arial" w:hAnsi="Arial"/>
          <w:sz w:val="24"/>
          <w:szCs w:val="24"/>
        </w:rPr>
        <w:t xml:space="preserve">h</w:t>
      </w:r>
      <w:r>
        <w:rPr>
          <w:rFonts w:ascii="Arial" w:cs="Arial" w:eastAsia="Arial" w:hAnsi="Arial"/>
          <w:sz w:val="24"/>
          <w:szCs w:val="24"/>
        </w:rPr>
        <w:t xml:space="preserve">н</w:t>
      </w:r>
      <w:r>
        <w:rPr>
          <w:rFonts w:ascii="Arial" w:cs="Arial" w:eastAsia="Arial" w:hAnsi="Arial"/>
          <w:sz w:val="24"/>
          <w:szCs w:val="24"/>
        </w:rPr>
        <w:t xml:space="preserve"> (м)</w:t>
      </w:r>
      <w:r>
        <w:rPr>
          <w:rFonts w:ascii="Arial" w:cs="Arial" w:eastAsia="Arial" w:hAnsi="Arial"/>
          <w:b/>
          <w:bCs/>
          <w:sz w:val="24"/>
          <w:szCs w:val="24"/>
        </w:rPr>
        <w:t xml:space="preserve"> – </w:t>
      </w:r>
      <w:r>
        <w:rPr>
          <w:rFonts w:ascii="Arial" w:cs="Arial" w:eastAsia="Arial" w:hAnsi="Arial"/>
          <w:sz w:val="24"/>
          <w:szCs w:val="24"/>
        </w:rPr>
        <w:t xml:space="preserve">наружняя высота здания и сооружения.</w:t>
      </w:r>
    </w:p>
    <w:p>
      <w:pPr>
        <w:spacing w:after="120"/>
        <w:ind w:firstLine="720"/>
        <w:jc w:val="both"/>
      </w:pPr>
      <w:r>
        <w:rPr>
          <w:rFonts w:ascii="Arial" w:cs="Arial" w:eastAsia="Arial" w:hAnsi="Arial"/>
          <w:sz w:val="24"/>
          <w:szCs w:val="24"/>
        </w:rPr>
        <w:t xml:space="preserve">3.3. Форма собственности здания или помещений принимается с указанием предназначения объекта, адресов, технические характеристики здания, год ввода в эксплуатацию здания и перечень ремонтных работ. </w:t>
      </w:r>
    </w:p>
    <w:p>
      <w:pPr>
        <w:spacing w:after="120"/>
        <w:ind w:firstLine="720"/>
        <w:jc w:val="both"/>
      </w:pPr>
      <w:r>
        <w:rPr>
          <w:rFonts w:ascii="Arial" w:cs="Arial" w:eastAsia="Arial" w:hAnsi="Arial"/>
          <w:sz w:val="24"/>
          <w:szCs w:val="24"/>
        </w:rPr>
        <w:t xml:space="preserve">3.4. Площадь земельного участка (га) под строительной частью здания и сооружения, а также этажность здания (1-о этажное, 2-х этажное и т. д.).</w:t>
      </w:r>
    </w:p>
    <w:p>
      <w:pPr>
        <w:spacing w:after="120"/>
        <w:ind w:firstLine="720"/>
        <w:jc w:val="both"/>
      </w:pPr>
      <w:r>
        <w:rPr>
          <w:rFonts w:ascii="Arial" w:cs="Arial" w:eastAsia="Arial" w:hAnsi="Arial"/>
          <w:sz w:val="24"/>
          <w:szCs w:val="24"/>
        </w:rPr>
        <w:t xml:space="preserve">3.5. Технические характеристики – принимаются из табл.2 Технического паспорта здания ( материал стены, окна, фундамента и др.)</w:t>
      </w:r>
    </w:p>
    <w:p>
      <w:pPr>
        <w:spacing w:after="120"/>
        <w:ind w:firstLine="720"/>
        <w:jc w:val="both"/>
      </w:pPr>
      <w:r>
        <w:rPr>
          <w:rFonts w:ascii="Arial" w:cs="Arial" w:eastAsia="Arial" w:hAnsi="Arial"/>
          <w:sz w:val="24"/>
          <w:szCs w:val="24"/>
        </w:rPr>
        <w:t xml:space="preserve">3.6. Год застройки принимается из Технического паспорта или другой документации.</w:t>
      </w:r>
    </w:p>
    <w:p>
      <w:pPr>
        <w:spacing w:after="120"/>
        <w:ind w:firstLine="720"/>
        <w:jc w:val="both"/>
      </w:pPr>
      <w:r>
        <w:rPr>
          <w:rFonts w:ascii="Arial" w:cs="Arial" w:eastAsia="Arial" w:hAnsi="Arial"/>
          <w:sz w:val="24"/>
          <w:szCs w:val="24"/>
        </w:rPr>
        <w:t xml:space="preserve">3.7. Информации относительно проводимого ремонта, реконструкция и/или внедрение энергосберегающих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 И ДАННЫЕ ПО ЗДАНИЯМ </w:t>
      </w:r>
    </w:p>
    <w:p>
      <w:pPr>
        <w:spacing w:after="120"/>
        <w:jc w:val="right"/>
      </w:pPr>
      <w:r>
        <w:rPr>
          <w:rFonts w:ascii="Arial" w:cs="Arial" w:eastAsia="Arial" w:hAnsi="Arial"/>
          <w:b/>
          <w:bCs/>
          <w:sz w:val="24"/>
          <w:szCs w:val="24"/>
        </w:rPr>
        <w:t xml:space="preserve">Таблица 7.3.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2"/>
        <w:gridCol w:w="1611"/>
        <w:gridCol w:w="1581"/>
        <w:gridCol w:w="1488"/>
        <w:gridCol w:w="1208"/>
        <w:gridCol w:w="1074"/>
        <w:gridCol w:w="1614"/>
      </w:tblGrid>
      <w:tr>
        <w:tc>
          <w:tcPr>
            <w:tcW w:type="dxa" w:w="160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Вид и назначение зданий и помещений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61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Фактический адрес зданий или отдельных помещений их общая площадь ( м</w:t>
            </w:r>
            <w:r>
              <w:rPr>
                <w:rFonts w:ascii="Arial" w:cs="Arial" w:eastAsia="Arial" w:hAnsi="Arial"/>
                <w:sz w:val="24"/>
                <w:szCs w:val="24"/>
              </w:rPr>
              <w:t xml:space="preserve">2</w:t>
            </w:r>
            <w:r>
              <w:rPr>
                <w:rFonts w:ascii="Arial" w:cs="Arial" w:eastAsia="Arial" w:hAnsi="Arial"/>
                <w:sz w:val="24"/>
                <w:szCs w:val="24"/>
              </w:rPr>
              <w:t xml:space="preserve">) и кубатура (м</w:t>
            </w:r>
            <w:r>
              <w:rPr>
                <w:rFonts w:ascii="Arial" w:cs="Arial" w:eastAsia="Arial" w:hAnsi="Arial"/>
                <w:sz w:val="24"/>
                <w:szCs w:val="24"/>
              </w:rPr>
              <w:t xml:space="preserve">3</w:t>
            </w:r>
            <w:r>
              <w:rPr>
                <w:rFonts w:ascii="Arial" w:cs="Arial" w:eastAsia="Arial" w:hAnsi="Arial"/>
                <w:sz w:val="24"/>
                <w:szCs w:val="24"/>
              </w:rPr>
              <w:t xml:space="preserve">)</w:t>
            </w:r>
          </w:p>
        </w:tc>
        <w:tc>
          <w:tcPr>
            <w:tcW w:type="dxa" w:w="158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Форма владения, пользования (собствен-ность, оперативное управление, аренда и т.п.)</w:t>
            </w:r>
          </w:p>
        </w:tc>
        <w:tc>
          <w:tcPr>
            <w:tcW w:type="dxa" w:w="148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Площадь земельного участка (га),</w:t>
            </w:r>
          </w:p>
          <w:p>
            <w:pPr>
              <w:jc w:val="center"/>
            </w:pPr>
            <w:r>
              <w:rPr>
                <w:rFonts w:ascii="Arial" w:cs="Arial" w:eastAsia="Arial" w:hAnsi="Arial"/>
                <w:sz w:val="24"/>
                <w:szCs w:val="24"/>
              </w:rPr>
              <w:t xml:space="preserve">этажность</w:t>
            </w:r>
          </w:p>
        </w:tc>
        <w:tc>
          <w:tcPr>
            <w:tcW w:type="dxa" w:w="120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Техни-ческая</w:t>
            </w:r>
          </w:p>
          <w:p>
            <w:pPr>
              <w:jc w:val="center"/>
            </w:pPr>
            <w:r>
              <w:rPr>
                <w:rFonts w:ascii="Arial" w:cs="Arial" w:eastAsia="Arial" w:hAnsi="Arial"/>
                <w:sz w:val="24"/>
                <w:szCs w:val="24"/>
              </w:rPr>
              <w:t xml:space="preserve">характеристика</w:t>
            </w:r>
          </w:p>
        </w:tc>
        <w:tc>
          <w:tcPr>
            <w:tcW w:type="dxa" w:w="107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Год построй-ки и в постоян-ной работе с (год):</w:t>
            </w:r>
          </w:p>
        </w:tc>
        <w:tc>
          <w:tcPr>
            <w:tcW w:type="dxa" w:w="161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Дата последнего</w:t>
            </w:r>
          </w:p>
          <w:p>
            <w:pPr>
              <w:jc w:val="center"/>
            </w:pPr>
            <w:r>
              <w:rPr>
                <w:rFonts w:ascii="Arial" w:cs="Arial" w:eastAsia="Arial" w:hAnsi="Arial"/>
                <w:sz w:val="24"/>
                <w:szCs w:val="24"/>
              </w:rPr>
              <w:t xml:space="preserve">основного ремонта /реконструкции (месяц,год):</w:t>
            </w:r>
          </w:p>
        </w:tc>
      </w:tr>
      <w:tr>
        <w:tc>
          <w:tcPr>
            <w:tcW w:type="dxa" w:w="16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3.1.</w:t>
            </w:r>
          </w:p>
        </w:tc>
        <w:tc>
          <w:tcPr>
            <w:tcW w:type="dxa" w:w="16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w:t>
            </w:r>
          </w:p>
        </w:tc>
        <w:tc>
          <w:tcPr>
            <w:tcW w:type="dxa" w:w="158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w:t>
            </w:r>
          </w:p>
        </w:tc>
        <w:tc>
          <w:tcPr>
            <w:tcW w:type="dxa" w:w="14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w:t>
            </w:r>
          </w:p>
        </w:tc>
        <w:tc>
          <w:tcPr>
            <w:tcW w:type="dxa" w:w="12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w:t>
            </w:r>
          </w:p>
        </w:tc>
        <w:tc>
          <w:tcPr>
            <w:tcW w:type="dxa" w:w="107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3.6.</w:t>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w:t>
            </w:r>
          </w:p>
        </w:tc>
      </w:tr>
      <w:tr>
        <w:tc>
          <w:tcPr>
            <w:tcW w:type="dxa" w:w="16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 Админист-ративное здание №1, в т.ч. </w:t>
            </w:r>
          </w:p>
        </w:tc>
        <w:tc>
          <w:tcPr>
            <w:tcW w:type="dxa" w:w="16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Адрес:</w:t>
            </w:r>
          </w:p>
          <w:p>
            <w:pPr>
              <w:jc w:val="center"/>
            </w:pPr>
            <w:r>
              <w:rPr>
                <w:rFonts w:ascii="Arial" w:cs="Arial" w:eastAsia="Arial" w:hAnsi="Arial"/>
                <w:sz w:val="24"/>
                <w:szCs w:val="24"/>
              </w:rPr>
              <w:t xml:space="preserve">S</w:t>
            </w:r>
            <w:r>
              <w:rPr>
                <w:rFonts w:ascii="Arial" w:cs="Arial" w:eastAsia="Arial" w:hAnsi="Arial"/>
                <w:sz w:val="24"/>
                <w:szCs w:val="24"/>
              </w:rPr>
              <w:t xml:space="preserve">н </w:t>
            </w:r>
            <w:r>
              <w:rPr>
                <w:rFonts w:ascii="Arial" w:cs="Arial" w:eastAsia="Arial" w:hAnsi="Arial"/>
                <w:sz w:val="24"/>
                <w:szCs w:val="24"/>
              </w:rPr>
              <w:t xml:space="preserve">=    (м</w:t>
            </w:r>
            <w:r>
              <w:rPr>
                <w:rFonts w:ascii="Arial" w:cs="Arial" w:eastAsia="Arial" w:hAnsi="Arial"/>
                <w:sz w:val="24"/>
                <w:szCs w:val="24"/>
              </w:rPr>
              <w:t xml:space="preserve">2 </w:t>
            </w:r>
            <w:r>
              <w:rPr>
                <w:rFonts w:ascii="Arial" w:cs="Arial" w:eastAsia="Arial" w:hAnsi="Arial"/>
                <w:sz w:val="24"/>
                <w:szCs w:val="24"/>
              </w:rPr>
              <w:t xml:space="preserve">), </w:t>
            </w:r>
          </w:p>
          <w:p>
            <w:pPr>
              <w:jc w:val="center"/>
            </w:pPr>
            <w:r>
              <w:rPr>
                <w:rFonts w:ascii="Arial" w:cs="Arial" w:eastAsia="Arial" w:hAnsi="Arial"/>
                <w:sz w:val="24"/>
                <w:szCs w:val="24"/>
              </w:rPr>
              <w:t xml:space="preserve">V</w:t>
            </w:r>
            <w:r>
              <w:rPr>
                <w:rFonts w:ascii="Arial" w:cs="Arial" w:eastAsia="Arial" w:hAnsi="Arial"/>
                <w:sz w:val="24"/>
                <w:szCs w:val="24"/>
              </w:rPr>
              <w:t xml:space="preserve">н </w:t>
            </w:r>
            <w:r>
              <w:rPr>
                <w:rFonts w:ascii="Arial" w:cs="Arial" w:eastAsia="Arial" w:hAnsi="Arial"/>
                <w:sz w:val="24"/>
                <w:szCs w:val="24"/>
              </w:rPr>
              <w:t xml:space="preserve">=  </w:t>
            </w:r>
            <w:r>
              <w:rPr>
                <w:rFonts w:ascii="Arial" w:cs="Arial" w:eastAsia="Arial" w:hAnsi="Arial"/>
                <w:sz w:val="24"/>
                <w:szCs w:val="24"/>
              </w:rPr>
              <w:t xml:space="preserve">S</w:t>
            </w:r>
            <w:r>
              <w:rPr>
                <w:rFonts w:ascii="Arial" w:cs="Arial" w:eastAsia="Arial" w:hAnsi="Arial"/>
                <w:sz w:val="24"/>
                <w:szCs w:val="24"/>
              </w:rPr>
              <w:t xml:space="preserve">н</w:t>
            </w:r>
            <w:r>
              <w:rPr>
                <w:rFonts w:ascii="Arial" w:cs="Arial" w:eastAsia="Arial" w:hAnsi="Arial"/>
                <w:sz w:val="24"/>
                <w:szCs w:val="24"/>
              </w:rPr>
              <w:t xml:space="preserve">*</w:t>
            </w:r>
            <w:r>
              <w:rPr>
                <w:rFonts w:ascii="Arial" w:cs="Arial" w:eastAsia="Arial" w:hAnsi="Arial"/>
                <w:sz w:val="24"/>
                <w:szCs w:val="24"/>
              </w:rPr>
              <w:t xml:space="preserve">h</w:t>
            </w:r>
            <w:r>
              <w:rPr>
                <w:rFonts w:ascii="Arial" w:cs="Arial" w:eastAsia="Arial" w:hAnsi="Arial"/>
                <w:sz w:val="24"/>
                <w:szCs w:val="24"/>
              </w:rPr>
              <w:t xml:space="preserve">н</w:t>
            </w:r>
            <w:r>
              <w:rPr>
                <w:rFonts w:ascii="Arial" w:cs="Arial" w:eastAsia="Arial" w:hAnsi="Arial"/>
                <w:sz w:val="24"/>
                <w:szCs w:val="24"/>
              </w:rPr>
              <w:t xml:space="preserve"> (м</w:t>
            </w:r>
            <w:r>
              <w:rPr>
                <w:rFonts w:ascii="Arial" w:cs="Arial" w:eastAsia="Arial" w:hAnsi="Arial"/>
                <w:sz w:val="24"/>
                <w:szCs w:val="24"/>
              </w:rPr>
              <w:t xml:space="preserve">3</w:t>
            </w:r>
            <w:r>
              <w:rPr>
                <w:rFonts w:ascii="Arial" w:cs="Arial" w:eastAsia="Arial" w:hAnsi="Arial"/>
                <w:sz w:val="24"/>
                <w:szCs w:val="24"/>
              </w:rPr>
              <w:t xml:space="preserve">)</w:t>
            </w:r>
          </w:p>
        </w:tc>
        <w:tc>
          <w:tcPr>
            <w:tcW w:type="dxa" w:w="158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субабоненты- арендаторы –</w:t>
            </w:r>
          </w:p>
          <w:p>
            <w:pPr>
              <w:jc w:val="center"/>
            </w:pPr>
            <w:r>
              <w:rPr>
                <w:rFonts w:ascii="Arial" w:cs="Arial" w:eastAsia="Arial" w:hAnsi="Arial"/>
                <w:sz w:val="24"/>
                <w:szCs w:val="24"/>
              </w:rPr>
              <w:t xml:space="preserve">ЧП «Иванов» и т. д. </w:t>
            </w:r>
          </w:p>
        </w:tc>
        <w:tc>
          <w:tcPr>
            <w:tcW w:type="dxa" w:w="16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S</w:t>
            </w:r>
            <w:r>
              <w:rPr>
                <w:rFonts w:ascii="Arial" w:cs="Arial" w:eastAsia="Arial" w:hAnsi="Arial"/>
                <w:sz w:val="24"/>
                <w:szCs w:val="24"/>
              </w:rPr>
              <w:t xml:space="preserve">вн </w:t>
            </w:r>
            <w:r>
              <w:rPr>
                <w:rFonts w:ascii="Arial" w:cs="Arial" w:eastAsia="Arial" w:hAnsi="Arial"/>
                <w:sz w:val="24"/>
                <w:szCs w:val="24"/>
              </w:rPr>
              <w:t xml:space="preserve">=    (м</w:t>
            </w:r>
            <w:r>
              <w:rPr>
                <w:rFonts w:ascii="Arial" w:cs="Arial" w:eastAsia="Arial" w:hAnsi="Arial"/>
                <w:sz w:val="24"/>
                <w:szCs w:val="24"/>
              </w:rPr>
              <w:t xml:space="preserve">2 </w:t>
            </w:r>
            <w:r>
              <w:rPr>
                <w:rFonts w:ascii="Arial" w:cs="Arial" w:eastAsia="Arial" w:hAnsi="Arial"/>
                <w:sz w:val="24"/>
                <w:szCs w:val="24"/>
              </w:rPr>
              <w:t xml:space="preserve">), </w:t>
            </w:r>
          </w:p>
          <w:p>
            <w:pPr>
              <w:jc w:val="center"/>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0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 Админист-ративное здание №2</w:t>
            </w:r>
          </w:p>
        </w:tc>
        <w:tc>
          <w:tcPr>
            <w:tcW w:type="dxa" w:w="16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Адрес:</w:t>
            </w:r>
          </w:p>
          <w:p>
            <w:pPr>
              <w:jc w:val="center"/>
            </w:pPr>
            <w:r>
              <w:rPr>
                <w:rFonts w:ascii="Arial" w:cs="Arial" w:eastAsia="Arial" w:hAnsi="Arial"/>
                <w:sz w:val="24"/>
                <w:szCs w:val="24"/>
              </w:rPr>
              <w:t xml:space="preserve">S</w:t>
            </w:r>
            <w:r>
              <w:rPr>
                <w:rFonts w:ascii="Arial" w:cs="Arial" w:eastAsia="Arial" w:hAnsi="Arial"/>
                <w:sz w:val="24"/>
                <w:szCs w:val="24"/>
              </w:rPr>
              <w:t xml:space="preserve">н </w:t>
            </w:r>
            <w:r>
              <w:rPr>
                <w:rFonts w:ascii="Arial" w:cs="Arial" w:eastAsia="Arial" w:hAnsi="Arial"/>
                <w:sz w:val="24"/>
                <w:szCs w:val="24"/>
              </w:rPr>
              <w:t xml:space="preserve">=    (м</w:t>
            </w:r>
            <w:r>
              <w:rPr>
                <w:rFonts w:ascii="Arial" w:cs="Arial" w:eastAsia="Arial" w:hAnsi="Arial"/>
                <w:sz w:val="24"/>
                <w:szCs w:val="24"/>
              </w:rPr>
              <w:t xml:space="preserve">2 </w:t>
            </w:r>
            <w:r>
              <w:rPr>
                <w:rFonts w:ascii="Arial" w:cs="Arial" w:eastAsia="Arial" w:hAnsi="Arial"/>
                <w:sz w:val="24"/>
                <w:szCs w:val="24"/>
              </w:rPr>
              <w:t xml:space="preserve">), </w:t>
            </w:r>
          </w:p>
          <w:p>
            <w:pPr>
              <w:jc w:val="center"/>
            </w:pPr>
            <w:r>
              <w:rPr>
                <w:rFonts w:ascii="Arial" w:cs="Arial" w:eastAsia="Arial" w:hAnsi="Arial"/>
                <w:sz w:val="24"/>
                <w:szCs w:val="24"/>
              </w:rPr>
              <w:t xml:space="preserve">V</w:t>
            </w:r>
            <w:r>
              <w:rPr>
                <w:rFonts w:ascii="Arial" w:cs="Arial" w:eastAsia="Arial" w:hAnsi="Arial"/>
                <w:sz w:val="24"/>
                <w:szCs w:val="24"/>
              </w:rPr>
              <w:t xml:space="preserve">н </w:t>
            </w:r>
            <w:r>
              <w:rPr>
                <w:rFonts w:ascii="Arial" w:cs="Arial" w:eastAsia="Arial" w:hAnsi="Arial"/>
                <w:sz w:val="24"/>
                <w:szCs w:val="24"/>
              </w:rPr>
              <w:t xml:space="preserve">=  </w:t>
            </w:r>
            <w:r>
              <w:rPr>
                <w:rFonts w:ascii="Arial" w:cs="Arial" w:eastAsia="Arial" w:hAnsi="Arial"/>
                <w:sz w:val="24"/>
                <w:szCs w:val="24"/>
              </w:rPr>
              <w:t xml:space="preserve">S</w:t>
            </w:r>
            <w:r>
              <w:rPr>
                <w:rFonts w:ascii="Arial" w:cs="Arial" w:eastAsia="Arial" w:hAnsi="Arial"/>
                <w:sz w:val="24"/>
                <w:szCs w:val="24"/>
              </w:rPr>
              <w:t xml:space="preserve">н</w:t>
            </w:r>
            <w:r>
              <w:rPr>
                <w:rFonts w:ascii="Arial" w:cs="Arial" w:eastAsia="Arial" w:hAnsi="Arial"/>
                <w:sz w:val="24"/>
                <w:szCs w:val="24"/>
              </w:rPr>
              <w:t xml:space="preserve">*</w:t>
            </w:r>
            <w:r>
              <w:rPr>
                <w:rFonts w:ascii="Arial" w:cs="Arial" w:eastAsia="Arial" w:hAnsi="Arial"/>
                <w:sz w:val="24"/>
                <w:szCs w:val="24"/>
              </w:rPr>
              <w:t xml:space="preserve">h</w:t>
            </w:r>
            <w:r>
              <w:rPr>
                <w:rFonts w:ascii="Arial" w:cs="Arial" w:eastAsia="Arial" w:hAnsi="Arial"/>
                <w:sz w:val="24"/>
                <w:szCs w:val="24"/>
              </w:rPr>
              <w:t xml:space="preserve">н</w:t>
            </w:r>
            <w:r>
              <w:rPr>
                <w:rFonts w:ascii="Arial" w:cs="Arial" w:eastAsia="Arial" w:hAnsi="Arial"/>
                <w:sz w:val="24"/>
                <w:szCs w:val="24"/>
              </w:rPr>
              <w:t xml:space="preserve"> (м</w:t>
            </w:r>
            <w:r>
              <w:rPr>
                <w:rFonts w:ascii="Arial" w:cs="Arial" w:eastAsia="Arial" w:hAnsi="Arial"/>
                <w:sz w:val="24"/>
                <w:szCs w:val="24"/>
              </w:rPr>
              <w:t xml:space="preserve">3</w:t>
            </w:r>
            <w:r>
              <w:rPr>
                <w:rFonts w:ascii="Arial" w:cs="Arial" w:eastAsia="Arial" w:hAnsi="Arial"/>
                <w:sz w:val="24"/>
                <w:szCs w:val="24"/>
              </w:rPr>
              <w:t xml:space="preserve">)</w:t>
            </w:r>
          </w:p>
        </w:tc>
        <w:tc>
          <w:tcPr>
            <w:tcW w:type="dxa" w:w="158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60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и т. д.</w:t>
            </w:r>
          </w:p>
        </w:tc>
        <w:tc>
          <w:tcPr>
            <w:tcW w:type="dxa" w:w="16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0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IV</w:t>
      </w:r>
      <w:r>
        <w:rPr>
          <w:rFonts w:ascii="Arial" w:cs="Arial" w:eastAsia="Arial" w:hAnsi="Arial"/>
          <w:b/>
          <w:bCs/>
          <w:sz w:val="24"/>
          <w:szCs w:val="24"/>
        </w:rPr>
        <w:t xml:space="preserve">. Раздел «Климатические данные района размещения объекта»</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Климатические парамеры наружного воздуха, отопительный период района здания и/или сооружения, представленные в табл.7.4 принимаются из табл 1.3. Приложения 1 настоящей Методики в зависимости от населенного пункта.</w:t>
      </w:r>
    </w:p>
    <w:p>
      <w:pPr>
        <w:spacing w:after="120"/>
        <w:ind w:firstLine="720"/>
        <w:jc w:val="both"/>
      </w:pPr>
      <w:r>
        <w:rPr>
          <w:rFonts w:ascii="Arial" w:cs="Arial" w:eastAsia="Arial" w:hAnsi="Arial"/>
          <w:sz w:val="24"/>
          <w:szCs w:val="24"/>
        </w:rPr>
        <w:t xml:space="preserve">Начало и окончание фактического отопительного периода (ОП) принимается согласно распоряжений, приказов органов местного самоуправления, мэрий городов, айыл окмоту или других государственных органов.</w:t>
      </w:r>
    </w:p>
    <w:p>
      <w:pPr>
        <w:spacing w:after="120"/>
        <w:ind w:firstLine="540"/>
        <w:jc w:val="both"/>
      </w:pPr>
      <w:r>
        <w:rPr>
          <w:rFonts w:ascii="Arial" w:cs="Arial" w:eastAsia="Arial" w:hAnsi="Arial"/>
          <w:sz w:val="24"/>
          <w:szCs w:val="24"/>
        </w:rPr>
        <w:t xml:space="preserve"/>
      </w:r>
    </w:p>
    <w:p>
      <w:pPr>
        <w:spacing w:after="120"/>
        <w:ind w:firstLine="540"/>
        <w:jc w:val="both"/>
      </w:pPr>
      <w:r>
        <w:rPr>
          <w:rFonts w:ascii="Arial" w:cs="Arial" w:eastAsia="Arial" w:hAnsi="Arial"/>
          <w:sz w:val="24"/>
          <w:szCs w:val="24"/>
        </w:rPr>
        <w:t xml:space="preserve"/>
      </w:r>
    </w:p>
    <w:p>
      <w:pPr>
        <w:spacing w:after="120"/>
        <w:ind w:firstLine="54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КЛИМАТИЧЕСКИЕ ДАННЫЕ ОБЪЕКТА ЭНЕРГОАУДИТА</w:t>
      </w:r>
    </w:p>
    <w:p>
      <w:pPr>
        <w:spacing w:after="240" w:before="200"/>
        <w:jc w:val="center"/>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7.4.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Климатические данные: (________________)</w:t>
            </w:r>
          </w:p>
          <w:p>
            <w:pPr>
              <w:jc w:val="both"/>
            </w:pPr>
            <w:r>
              <w:rPr>
                <w:rFonts w:ascii="Arial" w:cs="Arial" w:eastAsia="Arial" w:hAnsi="Arial"/>
                <w:sz w:val="24"/>
                <w:szCs w:val="24"/>
              </w:rPr>
              <w:t xml:space="preserve">Температура наружного воздуха в холодный период (по СНиП КР 23-01:2013 ):</w:t>
            </w:r>
          </w:p>
          <w:p>
            <w:pPr>
              <w:jc w:val="both"/>
            </w:pPr>
            <w:r>
              <w:rPr>
                <w:rFonts w:ascii="Arial" w:cs="Arial" w:eastAsia="Arial" w:hAnsi="Arial"/>
                <w:sz w:val="24"/>
                <w:szCs w:val="24"/>
              </w:rPr>
              <w:t xml:space="preserve">_____</w:t>
            </w:r>
            <w:r>
              <w:rPr>
                <w:rFonts w:ascii="Arial" w:cs="Arial" w:eastAsia="Arial" w:hAnsi="Arial"/>
                <w:sz w:val="24"/>
                <w:szCs w:val="24"/>
              </w:rPr>
              <w:t xml:space="preserve">о</w:t>
            </w:r>
            <w:r>
              <w:rPr>
                <w:rFonts w:ascii="Arial" w:cs="Arial" w:eastAsia="Arial" w:hAnsi="Arial"/>
                <w:sz w:val="24"/>
                <w:szCs w:val="24"/>
              </w:rPr>
              <w:t xml:space="preserve"> С</w:t>
            </w:r>
          </w:p>
          <w:p>
            <w:pPr>
              <w:jc w:val="both"/>
            </w:pPr>
            <w:r>
              <w:rPr>
                <w:rFonts w:ascii="Arial" w:cs="Arial" w:eastAsia="Arial" w:hAnsi="Arial"/>
                <w:sz w:val="24"/>
                <w:szCs w:val="24"/>
              </w:rPr>
              <w:t xml:space="preserve">Средняя температура наружного воздуха за отопительный период (СНиП </w:t>
            </w:r>
            <w:r>
              <w:rPr>
                <w:rFonts w:ascii="Arial" w:cs="Arial" w:eastAsia="Arial" w:hAnsi="Arial"/>
                <w:sz w:val="24"/>
                <w:szCs w:val="24"/>
              </w:rPr>
              <w:t xml:space="preserve">КР 23-01:2013</w:t>
            </w:r>
            <w:r>
              <w:rPr>
                <w:rFonts w:ascii="Arial" w:cs="Arial" w:eastAsia="Arial" w:hAnsi="Arial"/>
                <w:sz w:val="24"/>
                <w:szCs w:val="24"/>
              </w:rPr>
              <w:t xml:space="preserve">): ______</w:t>
            </w:r>
            <w:r>
              <w:rPr>
                <w:rFonts w:ascii="Arial" w:cs="Arial" w:eastAsia="Arial" w:hAnsi="Arial"/>
                <w:sz w:val="24"/>
                <w:szCs w:val="24"/>
              </w:rPr>
              <w:t xml:space="preserve">о</w:t>
            </w:r>
            <w:r>
              <w:rPr>
                <w:rFonts w:ascii="Arial" w:cs="Arial" w:eastAsia="Arial" w:hAnsi="Arial"/>
                <w:sz w:val="24"/>
                <w:szCs w:val="24"/>
              </w:rPr>
              <w:t xml:space="preserve">С</w:t>
            </w:r>
          </w:p>
        </w:tc>
      </w:tr>
      <w:tr>
        <w:tc>
          <w:tcPr>
            <w:tcW w:type="dxa" w:w="10180"/>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Учреждения ______________________________ (город, область) </w:t>
            </w:r>
          </w:p>
        </w:tc>
      </w:tr>
      <w:tr>
        <w:tc>
          <w:tcPr>
            <w:tcW w:type="dxa" w:w="10180"/>
            <w:gridSpan w:val="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Отопительный период (ОП); (начало и окончание) и продолжительность ОП (сут</w:t>
            </w:r>
            <w:r>
              <w:rPr>
                <w:rFonts w:ascii="Arial" w:cs="Arial" w:eastAsia="Arial" w:hAnsi="Arial"/>
                <w:sz w:val="24"/>
                <w:szCs w:val="24"/>
              </w:rPr>
              <w:t xml:space="preserve">ок</w:t>
            </w:r>
            <w:r>
              <w:rPr>
                <w:rFonts w:ascii="Arial" w:cs="Arial" w:eastAsia="Arial" w:hAnsi="Arial"/>
                <w:sz w:val="24"/>
                <w:szCs w:val="24"/>
              </w:rPr>
              <w:t xml:space="preserve">) (факт.) согласно распоряжению мэрии, города или акимиата и т.д.</w:t>
            </w:r>
          </w:p>
        </w:tc>
      </w:tr>
      <w:tr>
        <w:tc>
          <w:tcPr>
            <w:tcW w:type="dxa" w:w="254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Наименование организации:</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Начало ОП</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Окончание ОП:</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Продолжительность ОП:</w:t>
            </w:r>
          </w:p>
        </w:tc>
      </w:tr>
      <w:tr>
        <w:tc>
          <w:tcPr>
            <w:tcW w:type="dxa" w:w="254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w:t>
      </w:r>
      <w:r>
        <w:rPr>
          <w:rFonts w:ascii="Arial" w:cs="Arial" w:eastAsia="Arial" w:hAnsi="Arial"/>
          <w:b/>
          <w:bCs/>
          <w:sz w:val="24"/>
          <w:szCs w:val="24"/>
        </w:rPr>
        <w:t xml:space="preserve">. Раздел «Информация об исполнителях энергоаудита» (табл. 7.5.):</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5.1. Полная информация об исполнителях, проводимых энергоаудит НИИЭ ( фамилия, имя, отчество полностью, должность и мобильные телефоны и электронный адрес).</w:t>
      </w:r>
    </w:p>
    <w:p>
      <w:pPr>
        <w:spacing w:after="120"/>
        <w:ind w:firstLine="720"/>
        <w:jc w:val="both"/>
      </w:pPr>
      <w:r>
        <w:rPr>
          <w:rFonts w:ascii="Arial" w:cs="Arial" w:eastAsia="Arial" w:hAnsi="Arial"/>
          <w:sz w:val="24"/>
          <w:szCs w:val="24"/>
        </w:rPr>
        <w:t xml:space="preserve">5.2. Полное наименование бюджетной организации и ответственные лица, принимающие участие в энергоаудите и заполнении Анкеты, их фамилии, имена, отчества и должности, также контактные данные.</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ИСПОЛНИТЕЛИ ЭНЕРГОАУДИТА</w:t>
      </w:r>
    </w:p>
    <w:p>
      <w:pPr>
        <w:spacing w:after="240" w:before="200"/>
        <w:jc w:val="center"/>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7.5.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82"/>
        <w:gridCol w:w="1844"/>
        <w:gridCol w:w="2952"/>
      </w:tblGrid>
      <w:tr>
        <w:tc>
          <w:tcPr>
            <w:tcW w:type="dxa" w:w="538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Фамилии,имя отчество и должности</w:t>
            </w:r>
          </w:p>
          <w:p>
            <w:pPr>
              <w:jc w:val="center"/>
            </w:pPr>
            <w:r>
              <w:rPr>
                <w:rFonts w:ascii="Arial" w:cs="Arial" w:eastAsia="Arial" w:hAnsi="Arial"/>
                <w:sz w:val="24"/>
                <w:szCs w:val="24"/>
              </w:rPr>
              <w:t xml:space="preserve"/>
            </w:r>
          </w:p>
        </w:tc>
        <w:tc>
          <w:tcPr>
            <w:tcW w:type="dxa" w:w="184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Телефон</w:t>
            </w:r>
          </w:p>
        </w:tc>
        <w:tc>
          <w:tcPr>
            <w:tcW w:type="dxa" w:w="295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E</w:t>
            </w:r>
            <w:r>
              <w:rPr>
                <w:rFonts w:ascii="Arial" w:cs="Arial" w:eastAsia="Arial" w:hAnsi="Arial"/>
                <w:sz w:val="24"/>
                <w:szCs w:val="24"/>
              </w:rPr>
              <w:t xml:space="preserve">-</w:t>
            </w:r>
            <w:r>
              <w:rPr>
                <w:rFonts w:ascii="Arial" w:cs="Arial" w:eastAsia="Arial" w:hAnsi="Arial"/>
                <w:sz w:val="24"/>
                <w:szCs w:val="24"/>
              </w:rPr>
              <w:t xml:space="preserve">mail</w:t>
            </w:r>
            <w:r>
              <w:rPr>
                <w:rFonts w:ascii="Arial" w:cs="Arial" w:eastAsia="Arial" w:hAnsi="Arial"/>
                <w:sz w:val="24"/>
                <w:szCs w:val="24"/>
              </w:rPr>
              <w:t xml:space="preserve">:</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Исполнители от НИИЭ:</w:t>
            </w:r>
          </w:p>
        </w:tc>
      </w:tr>
      <w:tr>
        <w:tc>
          <w:tcPr>
            <w:tcW w:type="dxa" w:w="538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2.</w:t>
            </w:r>
          </w:p>
        </w:tc>
        <w:tc>
          <w:tcPr>
            <w:tcW w:type="dxa" w:w="184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295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Исполнители от объекта энергоаудита (организация) </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Наименование организации</w:t>
            </w:r>
          </w:p>
        </w:tc>
      </w:tr>
      <w:tr>
        <w:tc>
          <w:tcPr>
            <w:tcW w:type="dxa" w:w="538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2. и т.д.</w:t>
            </w:r>
          </w:p>
        </w:tc>
        <w:tc>
          <w:tcPr>
            <w:tcW w:type="dxa" w:w="184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c>
          <w:tcPr>
            <w:tcW w:type="dxa" w:w="295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bl>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w:t>
      </w:r>
      <w:r>
        <w:rPr>
          <w:rFonts w:ascii="Arial" w:cs="Arial" w:eastAsia="Arial" w:hAnsi="Arial"/>
          <w:b/>
          <w:bCs/>
          <w:sz w:val="24"/>
          <w:szCs w:val="24"/>
        </w:rPr>
        <w:t xml:space="preserve">. Раздел «Наличие проектной и иной документации» (табл. 7.6.)</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НАЛИЧИЕ ПРОЕКТНОЙ И ИНОЙ ДОКУМЕНТАЦИИ</w:t>
      </w:r>
    </w:p>
    <w:p>
      <w:pPr>
        <w:spacing w:after="120"/>
        <w:ind w:firstLine="360"/>
        <w:jc w:val="right"/>
      </w:pPr>
      <w:r>
        <w:rPr>
          <w:rFonts w:ascii="Arial" w:cs="Arial" w:eastAsia="Arial" w:hAnsi="Arial"/>
          <w:b/>
          <w:bCs/>
          <w:sz w:val="24"/>
          <w:szCs w:val="24"/>
        </w:rPr>
        <w:t xml:space="preserve">Таблица 7.6.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Какие чертежи здания доступны (фасады, этажи, разрезы), указать:</w:t>
            </w:r>
          </w:p>
          <w:p>
            <w:pPr>
              <w:jc w:val="left"/>
            </w:pPr>
            <w:r>
              <w:rPr>
                <w:rFonts w:ascii="Arial" w:cs="Arial" w:eastAsia="Arial" w:hAnsi="Arial"/>
                <w:sz w:val="24"/>
                <w:szCs w:val="24"/>
              </w:rPr>
              <w:t xml:space="preserve"> -</w:t>
            </w:r>
            <w:r>
              <w:rPr>
                <w:rFonts w:ascii="Arial" w:cs="Arial" w:eastAsia="Arial" w:hAnsi="Arial"/>
                <w:sz w:val="24"/>
                <w:szCs w:val="24"/>
              </w:rPr>
              <w:t xml:space="preserve"> согласно Технического паспорта зданий и сооружений</w:t>
            </w:r>
          </w:p>
        </w:tc>
      </w:tr>
      <w:tr>
        <w:tc>
          <w:tcPr>
            <w:tcW w:type="dxa" w:w="5089"/>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Для всех зданий учреждений:</w:t>
            </w:r>
          </w:p>
        </w:tc>
        <w:tc>
          <w:tcPr>
            <w:tcW w:type="dxa" w:w="508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Чертежи доступных систем (отопление, электроснабжения и т.д.), </w:t>
            </w:r>
            <w:r>
              <w:rPr>
                <w:rFonts w:ascii="Arial" w:cs="Arial" w:eastAsia="Arial" w:hAnsi="Arial"/>
                <w:sz w:val="24"/>
                <w:szCs w:val="24"/>
              </w:rPr>
              <w:t xml:space="preserve">указать:</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(индивидиальное электроотопление)</w:t>
            </w:r>
          </w:p>
        </w:tc>
      </w:tr>
      <w:tr>
        <w:tc>
          <w:tcPr>
            <w:tcW w:type="dxa" w:w="1017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Другая документация:</w:t>
            </w:r>
          </w:p>
          <w:p>
            <w:pPr>
              <w:jc w:val="left"/>
            </w:pPr>
            <w:r>
              <w:rPr>
                <w:rFonts w:ascii="Arial" w:cs="Arial" w:eastAsia="Arial" w:hAnsi="Arial"/>
                <w:sz w:val="24"/>
                <w:szCs w:val="24"/>
              </w:rPr>
              <w:t xml:space="preserve">1. Контракт на поставку электрической энергии с приложениями и обоснованием расчетов подбора трансформаторов тока к электросчетчикам ...</w:t>
            </w:r>
          </w:p>
          <w:p>
            <w:pPr>
              <w:jc w:val="left"/>
            </w:pPr>
            <w:r>
              <w:rPr>
                <w:rFonts w:ascii="Arial" w:cs="Arial" w:eastAsia="Arial" w:hAnsi="Arial"/>
                <w:sz w:val="24"/>
                <w:szCs w:val="24"/>
              </w:rPr>
              <w:t xml:space="preserve">2. Договор на снабжение тепловой энергии с указанием Акта балансовой принадлежности </w:t>
            </w:r>
          </w:p>
          <w:p>
            <w:pPr>
              <w:jc w:val="left"/>
            </w:pPr>
            <w:r>
              <w:rPr>
                <w:rFonts w:ascii="Arial" w:cs="Arial" w:eastAsia="Arial" w:hAnsi="Arial"/>
                <w:sz w:val="24"/>
                <w:szCs w:val="24"/>
              </w:rPr>
              <w:t xml:space="preserve">3. Счета фактуры и ведомости расходов электроэнергии по точкам учета </w:t>
            </w:r>
          </w:p>
          <w:p>
            <w:pPr>
              <w:jc w:val="left"/>
            </w:pPr>
            <w:r>
              <w:rPr>
                <w:rFonts w:ascii="Arial" w:cs="Arial" w:eastAsia="Arial" w:hAnsi="Arial"/>
                <w:sz w:val="24"/>
                <w:szCs w:val="24"/>
              </w:rPr>
              <w:t xml:space="preserve">(показания счетчиков), включая показания счетчиков арендаторов – субабонетов, размещенных в зданиях организации и т.д.</w:t>
            </w:r>
          </w:p>
        </w:tc>
      </w:tr>
    </w:tbl>
    <w:p>
      <w:pPr>
        <w:spacing w:after="120"/>
        <w:ind w:firstLine="36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таблице 7.6. необходимо представить данные, указать наличие и копии документации, прилагаемой к Анкете. Например: Технические паспорта с планами зданий и сооружений, однолинейная схема электроснабжения, схемы отопления с указанием границы балансовой принаджежности, Контракты на поставку энергоносителей (электро-, тепло- и газоснабжения), Технические условия подключения к системам поставщиков энергоносителей, ежемесячные счета- фактуры по оплате за энергоносители и ведомости расходов электроэнергии по точкам учета (показания счетчиков) и т.д.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VII</w:t>
      </w:r>
      <w:r>
        <w:rPr>
          <w:rFonts w:ascii="Arial" w:cs="Arial" w:eastAsia="Arial" w:hAnsi="Arial"/>
          <w:b/>
          <w:bCs/>
          <w:sz w:val="24"/>
          <w:szCs w:val="24"/>
        </w:rPr>
        <w:t xml:space="preserve">. Раздел «Описание системы отопления, электроснабжения и вентиляции» (табл. 7.7.)</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таблице 7.7. раздела отдельной строкой описывается линейная схема электроснабжения, отопления и вентиляции </w:t>
      </w:r>
      <w:r>
        <w:rPr>
          <w:rFonts w:ascii="Arial" w:cs="Arial" w:eastAsia="Arial" w:hAnsi="Arial"/>
          <w:sz w:val="24"/>
          <w:szCs w:val="24"/>
        </w:rPr>
        <w:t xml:space="preserve">для каждого отдельно стоящего здания и сооружения, размещенного на территории объекта энергоаудита: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СИСТЕМЫ ЭНЕРГОСНАБЖЕНИЯ</w:t>
      </w:r>
    </w:p>
    <w:p>
      <w:pPr>
        <w:spacing w:after="120"/>
        <w:ind w:firstLine="360"/>
        <w:jc w:val="right"/>
      </w:pPr>
      <w:r>
        <w:rPr>
          <w:rFonts w:ascii="Arial" w:cs="Arial" w:eastAsia="Arial" w:hAnsi="Arial"/>
          <w:b/>
          <w:bCs/>
          <w:sz w:val="24"/>
          <w:szCs w:val="24"/>
        </w:rPr>
        <w:t xml:space="preserve">Таблица 7.7.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4"/>
        <w:gridCol w:w="1538"/>
        <w:gridCol w:w="2167"/>
        <w:gridCol w:w="1698"/>
        <w:gridCol w:w="2281"/>
      </w:tblGrid>
      <w:tr>
        <w:tc>
          <w:tcPr>
            <w:tcW w:type="dxa" w:w="24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Здание и сооружение</w:t>
            </w:r>
          </w:p>
        </w:tc>
        <w:tc>
          <w:tcPr>
            <w:tcW w:type="dxa" w:w="15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отопления</w:t>
            </w:r>
          </w:p>
        </w:tc>
        <w:tc>
          <w:tcPr>
            <w:tcW w:type="dxa" w:w="21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водоснабжения</w:t>
            </w:r>
          </w:p>
        </w:tc>
        <w:tc>
          <w:tcPr>
            <w:tcW w:type="dxa" w:w="16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вентиляции</w:t>
            </w:r>
          </w:p>
        </w:tc>
        <w:tc>
          <w:tcPr>
            <w:tcW w:type="dxa" w:w="22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электроснабжения</w:t>
            </w:r>
          </w:p>
        </w:tc>
      </w:tr>
      <w:tr>
        <w:tc>
          <w:tcPr>
            <w:tcW w:type="dxa" w:w="10178"/>
            <w:gridSpan w:val="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Наименование организации</w:t>
            </w:r>
          </w:p>
        </w:tc>
      </w:tr>
      <w:tr>
        <w:tc>
          <w:tcPr>
            <w:tcW w:type="dxa" w:w="2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1.Административное здание №1,</w:t>
            </w:r>
          </w:p>
        </w:tc>
        <w:tc>
          <w:tcPr>
            <w:tcW w:type="dxa" w:w="1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2.Административное здание №2</w:t>
            </w:r>
          </w:p>
        </w:tc>
        <w:tc>
          <w:tcPr>
            <w:tcW w:type="dxa" w:w="1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-Если на территории объекта находится больше одного здания, то данное по каждому из этих зданий должны быть внесены в отдельную форму;</w:t>
            </w:r>
          </w:p>
          <w:p>
            <w:pPr>
              <w:jc w:val="left"/>
            </w:pPr>
            <w:r>
              <w:rPr>
                <w:rFonts w:ascii="Arial" w:cs="Arial" w:eastAsia="Arial" w:hAnsi="Arial"/>
                <w:sz w:val="24"/>
                <w:szCs w:val="24"/>
              </w:rPr>
              <w:t xml:space="preserve">-Если на объекте действует несколько систем, то следует заполнить отдельные листы по каждой из них. Добавить/удалить строчки, если это требуется</w:t>
            </w:r>
          </w:p>
          <w:p>
            <w:pPr>
              <w:jc w:val="left"/>
            </w:pPr>
            <w:r>
              <w:rPr>
                <w:rFonts w:ascii="Arial" w:cs="Arial" w:eastAsia="Arial" w:hAnsi="Arial"/>
                <w:sz w:val="24"/>
                <w:szCs w:val="24"/>
              </w:rPr>
              <w:t xml:space="preserve">-Сделать чертежи, эскизы, иллюстрации</w:t>
            </w:r>
          </w:p>
        </w:tc>
      </w:tr>
    </w:tbl>
    <w:p>
      <w:pPr>
        <w:spacing w:after="120"/>
        <w:ind w:firstLine="54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Например: описание столбца</w:t>
      </w:r>
      <w:r>
        <w:rPr>
          <w:rFonts w:ascii="Arial" w:cs="Arial" w:eastAsia="Arial" w:hAnsi="Arial"/>
          <w:sz w:val="24"/>
          <w:szCs w:val="24"/>
        </w:rPr>
        <w:t xml:space="preserve"> «</w:t>
      </w:r>
      <w:r>
        <w:rPr>
          <w:rFonts w:ascii="Arial" w:cs="Arial" w:eastAsia="Arial" w:hAnsi="Arial"/>
          <w:b/>
          <w:bCs/>
          <w:sz w:val="24"/>
          <w:szCs w:val="24"/>
        </w:rPr>
        <w:t xml:space="preserve">Система отопления»</w:t>
      </w:r>
      <w:r>
        <w:rPr>
          <w:rFonts w:ascii="Arial" w:cs="Arial" w:eastAsia="Arial" w:hAnsi="Arial"/>
          <w:sz w:val="24"/>
          <w:szCs w:val="24"/>
        </w:rPr>
        <w:t xml:space="preserve"> – централизованная система теплоснабжения (отопления) от ТЭЦ (г. Бишкек или Ош), от котельной ГП, «Кыргызтеплоэнерго», ведомственной котельной – мэрии г. Бишкек или г. Ош (название котельной и т.п.) и т.д. Если имеется горячее водоснабжение, то его необходимо также описать.</w:t>
      </w:r>
    </w:p>
    <w:p>
      <w:pPr>
        <w:spacing w:after="120"/>
        <w:ind w:firstLine="720"/>
        <w:jc w:val="both"/>
      </w:pPr>
      <w:r>
        <w:rPr>
          <w:rFonts w:ascii="Arial" w:cs="Arial" w:eastAsia="Arial" w:hAnsi="Arial"/>
          <w:sz w:val="24"/>
          <w:szCs w:val="24"/>
        </w:rPr>
        <w:t xml:space="preserve">Локальная система отопления – от угольной котельной, размещенной в отдельно стоящем здании на территории учреждения или электрокотельной типа «Тансу» установленной мощности - _____ кВтч и т.д (описать источники отопления); </w:t>
      </w:r>
    </w:p>
    <w:p>
      <w:pPr>
        <w:spacing w:after="120"/>
        <w:ind w:firstLine="720"/>
        <w:jc w:val="both"/>
      </w:pPr>
      <w:r>
        <w:rPr>
          <w:rFonts w:ascii="Arial" w:cs="Arial" w:eastAsia="Arial" w:hAnsi="Arial"/>
          <w:b/>
          <w:bCs/>
          <w:sz w:val="24"/>
          <w:szCs w:val="24"/>
        </w:rPr>
        <w:t xml:space="preserve">Поставщик теплоснабжения (отопления</w:t>
      </w:r>
      <w:r>
        <w:rPr>
          <w:rFonts w:ascii="Arial" w:cs="Arial" w:eastAsia="Arial" w:hAnsi="Arial"/>
          <w:sz w:val="24"/>
          <w:szCs w:val="24"/>
        </w:rPr>
        <w:t xml:space="preserve">) – ОАО «Бишкектеплосеть», или другие поставщики, Договор на поставку тепловой энергии № _______ от __________20____г.</w:t>
      </w:r>
    </w:p>
    <w:p>
      <w:pPr>
        <w:spacing w:after="120"/>
        <w:ind w:firstLine="720"/>
        <w:jc w:val="both"/>
      </w:pPr>
      <w:r>
        <w:rPr>
          <w:rFonts w:ascii="Arial" w:cs="Arial" w:eastAsia="Arial" w:hAnsi="Arial"/>
          <w:b/>
          <w:bCs/>
          <w:sz w:val="24"/>
          <w:szCs w:val="24"/>
        </w:rPr>
        <w:t xml:space="preserve">Наличие элеваторного узла</w:t>
      </w:r>
      <w:r>
        <w:rPr>
          <w:rFonts w:ascii="Arial" w:cs="Arial" w:eastAsia="Arial" w:hAnsi="Arial"/>
          <w:sz w:val="24"/>
          <w:szCs w:val="24"/>
        </w:rPr>
        <w:t xml:space="preserve"> в подвальном помещении, наличие теплового счетчика типа ____ № _______ – находится в элеваторном узле подвала здания и /или в отдельно стоящем тепловом пункте. </w:t>
      </w:r>
    </w:p>
    <w:p>
      <w:pPr>
        <w:spacing w:after="120"/>
        <w:ind w:firstLine="720"/>
        <w:jc w:val="both"/>
      </w:pPr>
      <w:r>
        <w:rPr>
          <w:rFonts w:ascii="Arial" w:cs="Arial" w:eastAsia="Arial" w:hAnsi="Arial"/>
          <w:b/>
          <w:bCs/>
          <w:sz w:val="24"/>
          <w:szCs w:val="24"/>
        </w:rPr>
        <w:t xml:space="preserve">В случае отсутствия теплового счетчика</w:t>
      </w:r>
      <w:r>
        <w:rPr>
          <w:rFonts w:ascii="Arial" w:cs="Arial" w:eastAsia="Arial" w:hAnsi="Arial"/>
          <w:sz w:val="24"/>
          <w:szCs w:val="24"/>
        </w:rPr>
        <w:t xml:space="preserve">, то расчет теплопотребления каждого здания и сооружения осуществляется на основании </w:t>
      </w:r>
      <w:r>
        <w:rPr>
          <w:rFonts w:ascii="Arial" w:cs="Arial" w:eastAsia="Arial" w:hAnsi="Arial"/>
          <w:b/>
          <w:bCs/>
          <w:sz w:val="24"/>
          <w:szCs w:val="24"/>
        </w:rPr>
        <w:t xml:space="preserve">раздела 8 настоящей Методики</w:t>
      </w:r>
      <w:r>
        <w:rPr>
          <w:rFonts w:ascii="Arial" w:cs="Arial" w:eastAsia="Arial" w:hAnsi="Arial"/>
          <w:sz w:val="24"/>
          <w:szCs w:val="24"/>
        </w:rPr>
        <w:t xml:space="preserve">.</w:t>
      </w:r>
    </w:p>
    <w:p>
      <w:pPr>
        <w:spacing w:after="120"/>
        <w:ind w:firstLine="720"/>
        <w:jc w:val="both"/>
      </w:pPr>
      <w:r>
        <w:rPr>
          <w:rFonts w:ascii="Arial" w:cs="Arial" w:eastAsia="Arial" w:hAnsi="Arial"/>
          <w:sz w:val="24"/>
          <w:szCs w:val="24"/>
        </w:rPr>
        <w:t xml:space="preserve">Более подробное описание системы теплоснабжения необходимо занести в нижеописанные таблицы 7.7.1. и 7.7.2. (см. пример заполнения таблиц).</w:t>
      </w:r>
    </w:p>
    <w:p>
      <w:pPr>
        <w:spacing w:after="240" w:before="226"/>
        <w:jc w:val="center"/>
      </w:pPr>
      <w:r>
        <w:rPr>
          <w:rFonts w:ascii="Arial" w:cs="Arial" w:eastAsia="Arial" w:hAnsi="Arial"/>
          <w:b/>
          <w:bCs/>
          <w:sz w:val="32"/>
          <w:szCs w:val="32"/>
        </w:rPr>
        <w:t xml:space="preserve">Система отопления и горячего водоснабжение (пример)</w:t>
      </w:r>
    </w:p>
    <w:p>
      <w:pPr>
        <w:spacing w:before="53"/>
        <w:jc w:val="right"/>
      </w:pPr>
      <w:r>
        <w:rPr>
          <w:rFonts w:ascii="Arial" w:cs="Arial" w:eastAsia="Arial" w:hAnsi="Arial"/>
          <w:b/>
          <w:bCs/>
          <w:sz w:val="24"/>
          <w:szCs w:val="24"/>
        </w:rPr>
        <w:t xml:space="preserve">Таблица 7.7.1.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Система распределения (в отдельно стоящем здании)</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 теплоснабжения , тип, марка, установленная мощность, количество агрегатов и т.д.</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Электрокотельная , два котла типа «Тансу» установленной мощности -- 30 кВтч каждый, 1котел (резервный)</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Теплоснабжение/</w:t>
            </w:r>
          </w:p>
          <w:p>
            <w:pPr>
              <w:jc w:val="left"/>
            </w:pPr>
            <w:r>
              <w:rPr>
                <w:rFonts w:ascii="Arial" w:cs="Arial" w:eastAsia="Arial" w:hAnsi="Arial"/>
                <w:b/>
                <w:bCs/>
                <w:sz w:val="24"/>
                <w:szCs w:val="24"/>
              </w:rPr>
              <w:t xml:space="preserve">Производство </w:t>
            </w:r>
            <w:r>
              <w:rPr>
                <w:rFonts w:ascii="Arial" w:cs="Arial" w:eastAsia="Arial" w:hAnsi="Arial"/>
                <w:b/>
                <w:bCs/>
                <w:sz w:val="24"/>
                <w:szCs w:val="24"/>
              </w:rPr>
              <w:t xml:space="preserve">теплоты</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действии, начиная с (года)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2007</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системы</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Электрическая  котельная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Энергоносители</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Горячая вода</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Автоматическое регулирование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Сброс температуры</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Система распределения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Однотрубная</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К.п.д./Состояние системы распределения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 ,  хорошее</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 труб</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стальные водогазопроводные</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Теплоноситель</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Электроэнергия, (вода)</w:t>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Температура теплоносителя </w:t>
            </w:r>
            <w:r>
              <w:rPr>
                <w:rFonts w:ascii="Arial" w:cs="Arial" w:eastAsia="Arial" w:hAnsi="Arial"/>
                <w:sz w:val="24"/>
                <w:szCs w:val="24"/>
              </w:rPr>
              <w:t xml:space="preserve">T</w:t>
            </w:r>
            <w:r>
              <w:rPr>
                <w:rFonts w:ascii="Arial" w:cs="Arial" w:eastAsia="Arial" w:hAnsi="Arial"/>
                <w:sz w:val="24"/>
                <w:szCs w:val="24"/>
              </w:rPr>
              <w:t xml:space="preserve">1/</w:t>
            </w:r>
            <w:r>
              <w:rPr>
                <w:rFonts w:ascii="Arial" w:cs="Arial" w:eastAsia="Arial" w:hAnsi="Arial"/>
                <w:sz w:val="24"/>
                <w:szCs w:val="24"/>
              </w:rPr>
              <w:t xml:space="preserve">T</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85</w:t>
            </w:r>
            <w:r>
              <w:rPr>
                <w:rFonts w:ascii="Arial" w:cs="Arial" w:eastAsia="Arial" w:hAnsi="Arial"/>
                <w:sz w:val="24"/>
                <w:szCs w:val="24"/>
              </w:rPr>
              <w:t xml:space="preserve">0 </w:t>
            </w:r>
            <w:r>
              <w:rPr>
                <w:rFonts w:ascii="Arial" w:cs="Arial" w:eastAsia="Arial" w:hAnsi="Arial"/>
                <w:sz w:val="24"/>
                <w:szCs w:val="24"/>
              </w:rPr>
              <w:t xml:space="preserve">С/60</w:t>
            </w:r>
            <w:r>
              <w:rPr>
                <w:rFonts w:ascii="Arial" w:cs="Arial" w:eastAsia="Arial" w:hAnsi="Arial"/>
                <w:sz w:val="24"/>
                <w:szCs w:val="24"/>
              </w:rPr>
              <w:t xml:space="preserve">0 </w:t>
            </w:r>
            <w:r>
              <w:rPr>
                <w:rFonts w:ascii="Arial" w:cs="Arial" w:eastAsia="Arial" w:hAnsi="Arial"/>
                <w:sz w:val="24"/>
                <w:szCs w:val="24"/>
              </w:rPr>
              <w:t xml:space="preserve">С</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7.7.2.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5"/>
        <w:gridCol w:w="1705"/>
        <w:gridCol w:w="1705"/>
        <w:gridCol w:w="1705"/>
        <w:gridCol w:w="1240"/>
        <w:gridCol w:w="2117"/>
      </w:tblGrid>
      <w:tr>
        <w:tc>
          <w:tcPr>
            <w:tcW w:type="dxa" w:w="682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Наименования показателей</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21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Значения</w:t>
            </w:r>
          </w:p>
          <w:p>
            <w:pPr>
              <w:jc w:val="center"/>
            </w:pPr>
            <w:r>
              <w:rPr>
                <w:rFonts w:ascii="Arial" w:cs="Arial" w:eastAsia="Arial" w:hAnsi="Arial"/>
                <w:sz w:val="24"/>
                <w:szCs w:val="24"/>
              </w:rPr>
              <w:t xml:space="preserve"/>
            </w:r>
          </w:p>
        </w:tc>
      </w:tr>
      <w:tr>
        <w:tc>
          <w:tcPr>
            <w:tcW w:type="dxa" w:w="682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Абонентский № ДТП или ИТП</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ИТП (2ввода)</w:t>
            </w:r>
          </w:p>
        </w:tc>
      </w:tr>
      <w:tr>
        <w:tc>
          <w:tcPr>
            <w:tcW w:type="dxa" w:w="682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Температурный график отпуска тепла от источника (тепловая станция, ЦТП) в систему отопления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w:t>
            </w:r>
          </w:p>
        </w:tc>
        <w:tc>
          <w:tcPr>
            <w:tcW w:type="dxa" w:w="2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 х 70</w:t>
            </w:r>
          </w:p>
        </w:tc>
      </w:tr>
      <w:tr>
        <w:tc>
          <w:tcPr>
            <w:tcW w:type="dxa" w:w="682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Температурный график системы отопления здания</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w:t>
            </w:r>
            <w:r>
              <w:rPr>
                <w:rFonts w:ascii="Arial" w:cs="Arial" w:eastAsia="Arial" w:hAnsi="Arial"/>
                <w:b/>
                <w:bCs/>
                <w:sz w:val="24"/>
                <w:szCs w:val="24"/>
              </w:rPr>
              <w:t xml:space="preserve">С</w:t>
            </w:r>
          </w:p>
        </w:tc>
        <w:tc>
          <w:tcPr>
            <w:tcW w:type="dxa" w:w="2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х 70</w:t>
            </w:r>
          </w:p>
        </w:tc>
      </w:tr>
      <w:tr>
        <w:tc>
          <w:tcPr>
            <w:tcW w:type="dxa" w:w="682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Схемы системы отопления (однотрубная, двухтрубная, верх или нижней разводкой)</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Однотрубная с нижней </w:t>
            </w:r>
          </w:p>
          <w:p>
            <w:pPr>
              <w:jc w:val="center"/>
            </w:pPr>
            <w:r>
              <w:rPr>
                <w:rFonts w:ascii="Arial" w:cs="Arial" w:eastAsia="Arial" w:hAnsi="Arial"/>
                <w:sz w:val="24"/>
                <w:szCs w:val="24"/>
              </w:rPr>
              <w:t xml:space="preserve">разводкой</w:t>
            </w:r>
          </w:p>
        </w:tc>
      </w:tr>
      <w:tr>
        <w:tc>
          <w:tcPr>
            <w:tcW w:type="dxa" w:w="170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отопительных</w:t>
            </w:r>
          </w:p>
          <w:p>
            <w:pPr>
              <w:jc w:val="left"/>
            </w:pPr>
            <w:r>
              <w:rPr>
                <w:rFonts w:ascii="Arial" w:cs="Arial" w:eastAsia="Arial" w:hAnsi="Arial"/>
                <w:sz w:val="24"/>
                <w:szCs w:val="24"/>
              </w:rPr>
              <w:t xml:space="preserve">приборов</w:t>
            </w:r>
          </w:p>
        </w:tc>
        <w:tc>
          <w:tcPr>
            <w:tcW w:type="dxa" w:w="1705"/>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Основное здание</w:t>
            </w:r>
          </w:p>
        </w:tc>
        <w:tc>
          <w:tcPr>
            <w:tcW w:type="dxa" w:w="3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(секции)</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341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гладкотрубные приборы </w:t>
            </w:r>
          </w:p>
        </w:tc>
        <w:tc>
          <w:tcPr>
            <w:tcW w:type="dxa" w:w="12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шт</w:t>
            </w:r>
          </w:p>
        </w:tc>
        <w:tc>
          <w:tcPr>
            <w:tcW w:type="dxa" w:w="211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682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Схема подключения системы отопления</w:t>
            </w:r>
          </w:p>
          <w:p>
            <w:pPr>
              <w:jc w:val="left"/>
            </w:pPr>
            <w:r>
              <w:rPr>
                <w:rFonts w:ascii="Arial" w:cs="Arial" w:eastAsia="Arial" w:hAnsi="Arial"/>
                <w:sz w:val="24"/>
                <w:szCs w:val="24"/>
              </w:rPr>
              <w:t xml:space="preserve">наличие автоматизированного управления </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нет</w:t>
            </w:r>
          </w:p>
        </w:tc>
      </w:tr>
      <w:tr>
        <w:tc>
          <w:tcPr>
            <w:tcW w:type="dxa" w:w="682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системы ГВС</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смонтирована</w:t>
            </w:r>
          </w:p>
        </w:tc>
      </w:tr>
      <w:tr>
        <w:tc>
          <w:tcPr>
            <w:tcW w:type="dxa" w:w="5115"/>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Проектные (договорные) нагрузки здания (без встроенных помещений), в т.ч.</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Отопление:</w:t>
            </w:r>
          </w:p>
          <w:p>
            <w:pPr>
              <w:jc w:val="left"/>
            </w:pPr>
            <w:r>
              <w:rPr>
                <w:rFonts w:ascii="Arial" w:cs="Arial" w:eastAsia="Arial" w:hAnsi="Arial"/>
                <w:sz w:val="24"/>
                <w:szCs w:val="24"/>
              </w:rPr>
              <w:t xml:space="preserve">- основное здание</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Гкал/ч</w:t>
            </w:r>
          </w:p>
        </w:tc>
        <w:tc>
          <w:tcPr>
            <w:tcW w:type="dxa" w:w="2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0,3 5 </w:t>
            </w:r>
            <w:r>
              <w:rPr>
                <w:rFonts w:ascii="Arial" w:cs="Arial" w:eastAsia="Arial" w:hAnsi="Arial"/>
                <w:sz w:val="24"/>
                <w:szCs w:val="24"/>
              </w:rPr>
              <w:t xml:space="preserve">7 ( проекту)</w:t>
            </w:r>
          </w:p>
        </w:tc>
      </w:tr>
      <w:tr>
        <w:tc>
          <w:tcPr>
            <w:gridSpan w:val="3"/>
            <w:vMerge w:val="continue"/>
            <w:tcBorders>
              <w:top w:val="none" w:color="auto" w:sz="0"/>
              <w:left w:val="single" w:color="CBBF9E" w:sz="4"/>
              <w:bottom w:val="single" w:color="CBBF9E" w:sz="4"/>
              <w:right w:val="single" w:color="CBBF9E" w:sz="4"/>
            </w:tcBorders>
          </w:tcP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пристройка</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Гкал/ч</w:t>
            </w:r>
          </w:p>
        </w:tc>
        <w:tc>
          <w:tcPr>
            <w:tcW w:type="dxa" w:w="2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66,75кВт- проект</w:t>
            </w:r>
          </w:p>
        </w:tc>
      </w:tr>
      <w:tr>
        <w:tc>
          <w:tcPr>
            <w:gridSpan w:val="3"/>
            <w:vMerge w:val="continue"/>
            <w:tcBorders>
              <w:top w:val="none" w:color="auto" w:sz="0"/>
              <w:left w:val="single" w:color="CBBF9E" w:sz="4"/>
              <w:bottom w:val="single" w:color="CBBF9E" w:sz="4"/>
              <w:right w:val="single" w:color="CBBF9E" w:sz="4"/>
            </w:tcBorders>
          </w:tcPr>
          <w:p/>
        </w:tc>
        <w:tc>
          <w:tcPr>
            <w:tcW w:type="dxa" w:w="17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ГВС среднечасовая</w:t>
            </w:r>
          </w:p>
          <w:p>
            <w:pPr>
              <w:jc w:val="left"/>
            </w:pPr>
            <w:r>
              <w:rPr>
                <w:rFonts w:ascii="Arial" w:cs="Arial" w:eastAsia="Arial" w:hAnsi="Arial"/>
                <w:sz w:val="24"/>
                <w:szCs w:val="24"/>
              </w:rPr>
              <w:t xml:space="preserve">разрешенная</w:t>
            </w:r>
          </w:p>
        </w:tc>
        <w:tc>
          <w:tcPr>
            <w:tcW w:type="dxa" w:w="124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Гкал/ч</w:t>
            </w:r>
          </w:p>
        </w:tc>
        <w:tc>
          <w:tcPr>
            <w:tcW w:type="dxa" w:w="211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ГВС отсутствует</w:t>
            </w:r>
          </w:p>
        </w:tc>
      </w:tr>
      <w:tr>
        <w:tc>
          <w:tcPr>
            <w:tcW w:type="dxa" w:w="682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теплообменников в ИТП (пластинч. /кожухотрубн.)</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2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Отопление</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Локальная котельная</w:t>
            </w:r>
          </w:p>
        </w:tc>
      </w:tr>
      <w:tr>
        <w:tc>
          <w:tcPr>
            <w:tcW w:type="dxa" w:w="682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ГВС</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нет</w:t>
            </w:r>
          </w:p>
        </w:tc>
      </w:tr>
      <w:tr>
        <w:tc>
          <w:tcPr>
            <w:tcW w:type="dxa" w:w="17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5"/>
        <w:gridCol w:w="3693"/>
        <w:gridCol w:w="1259"/>
        <w:gridCol w:w="1992"/>
      </w:tblGrid>
      <w:tr>
        <w:tc>
          <w:tcPr>
            <w:tcW w:type="dxa" w:w="32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насосов в ИТП (шт.) / мощность каждого электропривода (кВт):</w:t>
            </w:r>
          </w:p>
          <w:p>
            <w:pPr>
              <w:jc w:val="left"/>
            </w:pPr>
            <w:r>
              <w:rPr>
                <w:rFonts w:ascii="Arial" w:cs="Arial" w:eastAsia="Arial" w:hAnsi="Arial"/>
                <w:sz w:val="24"/>
                <w:szCs w:val="24"/>
              </w:rPr>
              <w:t xml:space="preserve">ГВС циркуляционный- повысительный</w:t>
            </w:r>
          </w:p>
        </w:tc>
        <w:tc>
          <w:tcPr>
            <w:tcW w:type="dxa" w:w="369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насос циркуляционный консольного типа  2 К-6-М </w:t>
            </w:r>
          </w:p>
        </w:tc>
        <w:tc>
          <w:tcPr>
            <w:tcW w:type="dxa" w:w="125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шт</w:t>
            </w:r>
          </w:p>
        </w:tc>
        <w:tc>
          <w:tcPr>
            <w:tcW w:type="dxa" w:w="1992"/>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2</w:t>
            </w:r>
          </w:p>
        </w:tc>
      </w:tr>
      <w:tr>
        <w:tc>
          <w:tcPr>
            <w:tcW w:type="dxa" w:w="692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Холодное водоснабжение (ХВС)</w:t>
            </w:r>
          </w:p>
        </w:tc>
        <w:tc>
          <w:tcPr>
            <w:tcW w:type="dxa" w:w="12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9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2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частотного регулирования привода на насосах в ИТП (+/-)</w:t>
            </w:r>
          </w:p>
        </w:tc>
        <w:tc>
          <w:tcPr>
            <w:tcW w:type="dxa" w:w="12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9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Описание системы электроснабжения:</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Поставщик электроэнергии </w:t>
      </w:r>
      <w:r>
        <w:rPr>
          <w:rFonts w:ascii="Arial" w:cs="Arial" w:eastAsia="Arial" w:hAnsi="Arial"/>
          <w:sz w:val="24"/>
          <w:szCs w:val="24"/>
        </w:rPr>
        <w:t xml:space="preserve">– энергоснабжающая или другая организация, осуществляющая поставку электроэнергии на основании Контракта.</w:t>
      </w:r>
    </w:p>
    <w:p>
      <w:pPr>
        <w:spacing w:after="120"/>
        <w:ind w:firstLine="720"/>
        <w:jc w:val="both"/>
      </w:pPr>
      <w:r>
        <w:rPr>
          <w:rFonts w:ascii="Arial" w:cs="Arial" w:eastAsia="Arial" w:hAnsi="Arial"/>
          <w:b/>
          <w:bCs/>
          <w:sz w:val="24"/>
          <w:szCs w:val="24"/>
        </w:rPr>
        <w:t xml:space="preserve">Граница балансовой принадлежности</w:t>
      </w:r>
      <w:r>
        <w:rPr>
          <w:rFonts w:ascii="Arial" w:cs="Arial" w:eastAsia="Arial" w:hAnsi="Arial"/>
          <w:sz w:val="24"/>
          <w:szCs w:val="24"/>
        </w:rPr>
        <w:t xml:space="preserve"> принимается на основании Технических условий на подключение к электрооборудованию (сети, трансформатор и т.д) Поставщика, а также согласно Приложений к Контракту на поставку электрической энергии .</w:t>
      </w:r>
    </w:p>
    <w:p>
      <w:pPr>
        <w:spacing w:after="120"/>
        <w:ind w:firstLine="720"/>
        <w:jc w:val="both"/>
      </w:pPr>
      <w:r>
        <w:rPr>
          <w:rFonts w:ascii="Arial" w:cs="Arial" w:eastAsia="Arial" w:hAnsi="Arial"/>
          <w:b/>
          <w:bCs/>
          <w:sz w:val="24"/>
          <w:szCs w:val="24"/>
        </w:rPr>
        <w:t xml:space="preserve">Наличие коммерческого и технических узлов учета электрической энергии</w:t>
      </w:r>
      <w:r>
        <w:rPr>
          <w:rFonts w:ascii="Arial" w:cs="Arial" w:eastAsia="Arial" w:hAnsi="Arial"/>
          <w:sz w:val="24"/>
          <w:szCs w:val="24"/>
        </w:rPr>
        <w:t xml:space="preserve">, к каким зданиям и сооружениям подключены узлы учета электроэнергии, места размещения коммерческих электросчетчиков, а при наличии субабонетов – арендаторов, размещенных в зданиях объекта энергоаудита необходимо также подробное описание их, места размещения внутреннего учета электроэнергии, наличие энергетического оборудования и их мощности.</w:t>
      </w:r>
    </w:p>
    <w:p>
      <w:pPr>
        <w:spacing w:after="120"/>
        <w:ind w:firstLine="720"/>
        <w:jc w:val="both"/>
      </w:pPr>
      <w:r>
        <w:rPr>
          <w:rFonts w:ascii="Arial" w:cs="Arial" w:eastAsia="Arial" w:hAnsi="Arial"/>
          <w:sz w:val="24"/>
          <w:szCs w:val="24"/>
        </w:rPr>
        <w:t xml:space="preserve">Системы теплоснабжения и газоснабжения описываются аналогично на основании действующих документов.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VIII</w:t>
      </w:r>
      <w:r>
        <w:rPr>
          <w:rFonts w:ascii="Arial" w:cs="Arial" w:eastAsia="Arial" w:hAnsi="Arial"/>
          <w:b/>
          <w:bCs/>
          <w:sz w:val="24"/>
          <w:szCs w:val="24"/>
        </w:rPr>
        <w:t xml:space="preserve">. Раздел «Информация об ответственном лице за эксплуатацию здания, ГВС, освещение и счетчиках электроэнергии» ( табл. 7.8.)</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таблице 7.8. раздела отдельной строкой для каждого </w:t>
      </w:r>
      <w:r>
        <w:rPr>
          <w:rFonts w:ascii="Arial" w:cs="Arial" w:eastAsia="Arial" w:hAnsi="Arial"/>
          <w:sz w:val="24"/>
          <w:szCs w:val="24"/>
        </w:rPr>
        <w:t xml:space="preserve">отдельно стоящего здания и сооружения указывается, </w:t>
      </w:r>
      <w:r>
        <w:rPr>
          <w:rFonts w:ascii="Arial" w:cs="Arial" w:eastAsia="Arial" w:hAnsi="Arial"/>
          <w:sz w:val="24"/>
          <w:szCs w:val="24"/>
        </w:rPr>
        <w:t xml:space="preserve">ответственное лицо за эксплуатацию и техническое обслуживание здания, наличие системы горячего водоснабжения, системы освещения (количество, мощность,типы лампочек, светильников и т.д) в зданиях и сооружениях.</w:t>
      </w:r>
    </w:p>
    <w:p>
      <w:pPr>
        <w:spacing w:after="120"/>
        <w:ind w:firstLine="720"/>
        <w:jc w:val="both"/>
      </w:pPr>
      <w:r>
        <w:rPr>
          <w:rFonts w:ascii="Arial" w:cs="Arial" w:eastAsia="Arial" w:hAnsi="Arial"/>
          <w:sz w:val="24"/>
          <w:szCs w:val="24"/>
        </w:rPr>
        <w:t xml:space="preserve">В столбцах 5 и 6 табл. 7.8. раздела указываются счетчики электроэнергии, номера и типы счетчиков, местоположение узлов учета к каждому зданию и сооружению, системы энергоснабжения </w:t>
      </w:r>
      <w:r>
        <w:rPr>
          <w:rFonts w:ascii="Arial" w:cs="Arial" w:eastAsia="Arial" w:hAnsi="Arial"/>
          <w:sz w:val="24"/>
          <w:szCs w:val="24"/>
        </w:rPr>
        <w:t xml:space="preserve">для каждого размещенного на территории объекта энергоаудита.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Информация о лице, ответственном за эксплуатацию здания и счетчиках электроэнергии</w:t>
      </w:r>
    </w:p>
    <w:p>
      <w:pPr>
        <w:spacing w:after="120"/>
        <w:ind w:firstLine="360"/>
        <w:jc w:val="right"/>
      </w:pPr>
      <w:r>
        <w:rPr>
          <w:rFonts w:ascii="Arial" w:cs="Arial" w:eastAsia="Arial" w:hAnsi="Arial"/>
          <w:b/>
          <w:bCs/>
          <w:sz w:val="24"/>
          <w:szCs w:val="24"/>
        </w:rPr>
        <w:t xml:space="preserve">Таблица 7.8.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2"/>
        <w:gridCol w:w="2206"/>
        <w:gridCol w:w="1471"/>
        <w:gridCol w:w="1618"/>
        <w:gridCol w:w="1471"/>
        <w:gridCol w:w="1471"/>
      </w:tblGrid>
      <w:tr>
        <w:tc>
          <w:tcPr>
            <w:tcW w:type="dxa" w:w="19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Здания и сооружение</w:t>
            </w:r>
          </w:p>
        </w:tc>
        <w:tc>
          <w:tcPr>
            <w:tcW w:type="dxa" w:w="22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Ответственное лицо по эксплуатации и обслуживанию</w:t>
            </w:r>
          </w:p>
        </w:tc>
        <w:tc>
          <w:tcPr>
            <w:tcW w:type="dxa" w:w="14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бытового горячего водоснаб-жения</w:t>
            </w:r>
          </w:p>
        </w:tc>
        <w:tc>
          <w:tcPr>
            <w:tcW w:type="dxa" w:w="16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освещения </w:t>
            </w:r>
          </w:p>
          <w:p>
            <w:pPr>
              <w:jc w:val="left"/>
            </w:pPr>
            <w:r>
              <w:rPr>
                <w:rFonts w:ascii="Arial" w:cs="Arial" w:eastAsia="Arial" w:hAnsi="Arial"/>
                <w:sz w:val="24"/>
                <w:szCs w:val="24"/>
              </w:rPr>
              <w:t xml:space="preserve">(лампы, кол-во и мощность)</w:t>
            </w:r>
          </w:p>
        </w:tc>
        <w:tc>
          <w:tcPr>
            <w:tcW w:type="dxa" w:w="294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Электричество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 счетчика; действует до года</w:t>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установки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9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Админи-стративное здание №1 </w:t>
            </w:r>
          </w:p>
        </w:tc>
        <w:tc>
          <w:tcPr>
            <w:tcW w:type="dxa" w:w="2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Админи-стративное здание №2</w:t>
            </w:r>
          </w:p>
        </w:tc>
        <w:tc>
          <w:tcPr>
            <w:tcW w:type="dxa" w:w="2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и т.д.</w:t>
            </w:r>
          </w:p>
        </w:tc>
        <w:tc>
          <w:tcPr>
            <w:tcW w:type="dxa" w:w="2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IX</w:t>
      </w:r>
      <w:r>
        <w:rPr>
          <w:rFonts w:ascii="Arial" w:cs="Arial" w:eastAsia="Arial" w:hAnsi="Arial"/>
          <w:b/>
          <w:bCs/>
          <w:sz w:val="24"/>
          <w:szCs w:val="24"/>
        </w:rPr>
        <w:t xml:space="preserve">. Информация об оплате за энергоносители</w:t>
      </w:r>
    </w:p>
    <w:p>
      <w:pPr>
        <w:spacing w:after="240" w:before="200"/>
        <w:ind w:firstLine="36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табл. 7.9. раздела указывается кто оплачивает счета фактуры за потребленную электрическую, тепловую энергию, природный газ и другие энергоносители (уголь и т.д.). Описать кто осуществляет оплату за эксплуатацию внутренних сетей и трансформатора (при наличии), поверку счетчиков, ремонтные работы и др.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Информация об оплате за энергоносители:</w:t>
      </w:r>
    </w:p>
    <w:p>
      <w:pPr>
        <w:spacing w:after="120"/>
        <w:ind w:firstLine="360"/>
        <w:jc w:val="right"/>
      </w:pPr>
      <w:r>
        <w:rPr>
          <w:rFonts w:ascii="Arial" w:cs="Arial" w:eastAsia="Arial" w:hAnsi="Arial"/>
          <w:b/>
          <w:bCs/>
          <w:sz w:val="24"/>
          <w:szCs w:val="24"/>
        </w:rPr>
        <w:t xml:space="preserve">Таблица 7.9.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6"/>
        <w:gridCol w:w="1692"/>
      </w:tblGrid>
      <w:tr>
        <w:tc>
          <w:tcPr>
            <w:tcW w:type="dxa" w:w="8486"/>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Счета за энергию оплачивает ( находятся Акты и счета-фактуры оплаты):</w:t>
            </w:r>
          </w:p>
          <w:p>
            <w:pPr>
              <w:jc w:val="both"/>
            </w:pPr>
            <w:r>
              <w:rPr>
                <w:rFonts w:ascii="Arial" w:cs="Arial" w:eastAsia="Arial" w:hAnsi="Arial"/>
                <w:sz w:val="24"/>
                <w:szCs w:val="24"/>
              </w:rPr>
              <w:t xml:space="preserve">- электроэнергия:</w:t>
            </w:r>
          </w:p>
          <w:p>
            <w:pPr>
              <w:jc w:val="both"/>
            </w:pPr>
            <w:r>
              <w:rPr>
                <w:rFonts w:ascii="Arial" w:cs="Arial" w:eastAsia="Arial" w:hAnsi="Arial"/>
                <w:sz w:val="24"/>
                <w:szCs w:val="24"/>
              </w:rPr>
              <w:t xml:space="preserve">- тепловая энергия:</w:t>
            </w:r>
          </w:p>
          <w:p>
            <w:pPr>
              <w:jc w:val="both"/>
            </w:pPr>
            <w:r>
              <w:rPr>
                <w:rFonts w:ascii="Arial" w:cs="Arial" w:eastAsia="Arial" w:hAnsi="Arial"/>
                <w:sz w:val="24"/>
                <w:szCs w:val="24"/>
              </w:rPr>
              <w:t xml:space="preserve">- природный газ и др.</w:t>
            </w:r>
          </w:p>
        </w:tc>
        <w:tc>
          <w:tcPr>
            <w:tcW w:type="dxa" w:w="16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Счета за обслуживание оплачивает:</w:t>
            </w:r>
          </w:p>
        </w:tc>
        <w:tc>
          <w:tcPr>
            <w:tcW w:type="dxa" w:w="1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8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Счета за ремонт внутренней проводки оплачивает/будет оплачивать:</w:t>
            </w:r>
          </w:p>
        </w:tc>
        <w:tc>
          <w:tcPr>
            <w:tcW w:type="dxa" w:w="16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Возможность финансирования работ по реконструкции и энергоэффективным мероприятиям:</w:t>
            </w:r>
          </w:p>
        </w:tc>
        <w:tc>
          <w:tcPr>
            <w:tcW w:type="dxa" w:w="169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X</w:t>
      </w:r>
      <w:r>
        <w:rPr>
          <w:rFonts w:ascii="Arial" w:cs="Arial" w:eastAsia="Arial" w:hAnsi="Arial"/>
          <w:b/>
          <w:bCs/>
          <w:sz w:val="24"/>
          <w:szCs w:val="24"/>
        </w:rPr>
        <w:t xml:space="preserve">. Информация о параметрах внутреннего воздуха, графики посещения, о штатной численности организации и режиме работы отопления в ОП</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таблице 7.10. раздела описываются фактические параметры воздуха, количество сотрудников, пребывающих в здания объекта и режим работы системы отопления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Параметры внутреннего воздуха, графики посещения сотрудников зданий и режим работы отопительной системы.</w:t>
      </w:r>
    </w:p>
    <w:p>
      <w:pPr>
        <w:spacing w:after="120"/>
        <w:ind w:firstLine="360"/>
        <w:jc w:val="right"/>
      </w:pPr>
      <w:r>
        <w:rPr>
          <w:rFonts w:ascii="Arial" w:cs="Arial" w:eastAsia="Arial" w:hAnsi="Arial"/>
          <w:b/>
          <w:bCs/>
          <w:sz w:val="24"/>
          <w:szCs w:val="24"/>
        </w:rPr>
        <w:t xml:space="preserve">Таблица 7.10.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3"/>
        <w:gridCol w:w="1283"/>
        <w:gridCol w:w="1283"/>
        <w:gridCol w:w="1283"/>
        <w:gridCol w:w="1283"/>
        <w:gridCol w:w="1254"/>
        <w:gridCol w:w="1254"/>
        <w:gridCol w:w="1254"/>
      </w:tblGrid>
      <w:tr>
        <w:tc>
          <w:tcPr>
            <w:tcW w:type="dxa" w:w="6415"/>
            <w:gridSpan w:val="5"/>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Существующие условия внутренней среды (</w:t>
            </w:r>
            <w:r>
              <w:rPr>
                <w:rFonts w:ascii="Arial" w:cs="Arial" w:eastAsia="Arial" w:hAnsi="Arial"/>
                <w:sz w:val="24"/>
                <w:szCs w:val="24"/>
              </w:rPr>
              <w:t xml:space="preserve">плохое, приемлемое, хорошее) </w:t>
            </w:r>
          </w:p>
        </w:tc>
        <w:tc>
          <w:tcPr>
            <w:tcW w:type="dxa" w:w="3762"/>
            <w:gridSpan w:val="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
            </w:r>
          </w:p>
        </w:tc>
      </w:tr>
      <w:tr>
        <w:tc>
          <w:tcPr>
            <w:tcW w:type="dxa" w:w="3849"/>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Температуры внутреннего воздуха</w:t>
            </w:r>
          </w:p>
        </w:tc>
        <w:tc>
          <w:tcPr>
            <w:tcW w:type="dxa" w:w="6328"/>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Фактическая температура в среднем</w:t>
            </w:r>
          </w:p>
        </w:tc>
      </w:tr>
      <w:tr>
        <w:tc>
          <w:tcPr>
            <w:tcW w:type="dxa" w:w="3849"/>
            <w:gridSpan w:val="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Температура внутреннего воздуха (°</w:t>
            </w:r>
            <w:r>
              <w:rPr>
                <w:rFonts w:ascii="Arial" w:cs="Arial" w:eastAsia="Arial" w:hAnsi="Arial"/>
                <w:sz w:val="24"/>
                <w:szCs w:val="24"/>
              </w:rPr>
              <w:t xml:space="preserve">C</w:t>
            </w:r>
            <w:r>
              <w:rPr>
                <w:rFonts w:ascii="Arial" w:cs="Arial" w:eastAsia="Arial" w:hAnsi="Arial"/>
                <w:sz w:val="24"/>
                <w:szCs w:val="24"/>
              </w:rPr>
              <w:t xml:space="preserve">)</w:t>
            </w:r>
          </w:p>
        </w:tc>
        <w:tc>
          <w:tcPr>
            <w:tcW w:type="dxa" w:w="6328"/>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w:t>
            </w:r>
          </w:p>
        </w:tc>
      </w:tr>
      <w:tr>
        <w:tc>
          <w:tcPr>
            <w:tcW w:type="dxa" w:w="128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Графики пребывания</w:t>
            </w:r>
          </w:p>
        </w:tc>
        <w:tc>
          <w:tcPr>
            <w:tcW w:type="dxa" w:w="3849"/>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Рабочие дни</w:t>
            </w:r>
          </w:p>
        </w:tc>
        <w:tc>
          <w:tcPr>
            <w:tcW w:type="dxa" w:w="2537"/>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Суббота </w:t>
            </w:r>
          </w:p>
        </w:tc>
        <w:tc>
          <w:tcPr>
            <w:tcW w:type="dxa" w:w="250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Воскресение </w:t>
            </w:r>
          </w:p>
        </w:tc>
      </w:tr>
      <w:tr>
        <w:tc>
          <w:tcPr>
            <w:tcW w:type="dxa" w:w="128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(человек)</w:t>
            </w:r>
          </w:p>
        </w:tc>
        <w:tc>
          <w:tcPr>
            <w:tcW w:type="dxa" w:w="3849"/>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537"/>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50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132"/>
            <w:gridSpan w:val="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График работы системы  отопления в ОП:</w:t>
            </w:r>
          </w:p>
        </w:tc>
        <w:tc>
          <w:tcPr>
            <w:tcW w:type="dxa" w:w="2537"/>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250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28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Рабочие смены</w:t>
            </w:r>
          </w:p>
        </w:tc>
        <w:tc>
          <w:tcPr>
            <w:tcW w:type="dxa" w:w="3849"/>
            <w:gridSpan w:val="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Начиная с</w:t>
            </w:r>
            <w:r>
              <w:rPr>
                <w:rFonts w:ascii="Arial" w:cs="Arial" w:eastAsia="Arial" w:hAnsi="Arial"/>
                <w:sz w:val="24"/>
                <w:szCs w:val="24"/>
              </w:rPr>
              <w:t xml:space="preserve"> (</w:t>
            </w:r>
            <w:r>
              <w:rPr>
                <w:rFonts w:ascii="Arial" w:cs="Arial" w:eastAsia="Arial" w:hAnsi="Arial"/>
                <w:sz w:val="24"/>
                <w:szCs w:val="24"/>
              </w:rPr>
              <w:t xml:space="preserve">час</w:t>
            </w:r>
            <w:r>
              <w:rPr>
                <w:rFonts w:ascii="Arial" w:cs="Arial" w:eastAsia="Arial" w:hAnsi="Arial"/>
                <w:sz w:val="24"/>
                <w:szCs w:val="24"/>
              </w:rPr>
              <w:t xml:space="preserve">)</w:t>
            </w:r>
          </w:p>
        </w:tc>
        <w:tc>
          <w:tcPr>
            <w:tcW w:type="dxa" w:w="2537"/>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До</w:t>
            </w:r>
            <w:r>
              <w:rPr>
                <w:rFonts w:ascii="Arial" w:cs="Arial" w:eastAsia="Arial" w:hAnsi="Arial"/>
                <w:sz w:val="24"/>
                <w:szCs w:val="24"/>
              </w:rPr>
              <w:t xml:space="preserve"> (</w:t>
            </w:r>
            <w:r>
              <w:rPr>
                <w:rFonts w:ascii="Arial" w:cs="Arial" w:eastAsia="Arial" w:hAnsi="Arial"/>
                <w:sz w:val="24"/>
                <w:szCs w:val="24"/>
              </w:rPr>
              <w:t xml:space="preserve">час</w:t>
            </w:r>
            <w:r>
              <w:rPr>
                <w:rFonts w:ascii="Arial" w:cs="Arial" w:eastAsia="Arial" w:hAnsi="Arial"/>
                <w:sz w:val="24"/>
                <w:szCs w:val="24"/>
              </w:rPr>
              <w:t xml:space="preserve">)</w:t>
            </w:r>
          </w:p>
        </w:tc>
        <w:tc>
          <w:tcPr>
            <w:tcW w:type="dxa" w:w="2508"/>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Комментарии</w:t>
            </w:r>
          </w:p>
        </w:tc>
      </w:tr>
      <w:tr>
        <w:tc>
          <w:tcPr>
            <w:tcW w:type="dxa" w:w="10177"/>
            <w:gridSpan w:val="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Праздничные дни: </w:t>
            </w:r>
          </w:p>
        </w:tc>
      </w:tr>
      <w:tr>
        <w:tc>
          <w:tcPr>
            <w:tcW w:type="dxa" w:w="10177"/>
            <w:gridSpan w:val="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Кол-во присутствующих в зданиях объекта обследования: (чел.)</w:t>
            </w:r>
          </w:p>
        </w:tc>
      </w:tr>
      <w:tr>
        <w:tc>
          <w:tcPr>
            <w:tcW w:type="dxa" w:w="256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Постоянные обитатели/работники</w:t>
            </w:r>
          </w:p>
        </w:tc>
        <w:tc>
          <w:tcPr>
            <w:tcW w:type="dxa" w:w="6357"/>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Человек</w:t>
            </w:r>
          </w:p>
        </w:tc>
      </w:tr>
      <w:tr>
        <w:tc>
          <w:tcPr>
            <w:tcW w:type="dxa" w:w="256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Временные посетители</w:t>
            </w:r>
          </w:p>
        </w:tc>
        <w:tc>
          <w:tcPr>
            <w:tcW w:type="dxa" w:w="6357"/>
            <w:gridSpan w:val="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Человек</w:t>
            </w:r>
          </w:p>
        </w:tc>
      </w:tr>
      <w:tr>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XI</w:t>
      </w:r>
      <w:r>
        <w:rPr>
          <w:rFonts w:ascii="Arial" w:cs="Arial" w:eastAsia="Arial" w:hAnsi="Arial"/>
          <w:b/>
          <w:bCs/>
          <w:sz w:val="24"/>
          <w:szCs w:val="24"/>
        </w:rPr>
        <w:t xml:space="preserve">. Фактическое потребление энергоносителей за последние 3 года</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таблице 7.11. раздела представляются данные годового фактического потребления энергоносителей (электрическая, тепловая энергия, природный газ, уголь и другие виды топлива), финансируемые за счет республиканского бюджета. Годовые данные энергоносителей получены на основании счетов-фактуры по оплате энергоносителей по точкам учета энергоносителей, расходам топлива согласно расчетам по нормативным характеристикам согласно настоящей Методике, а также согласно Актов по списанию топлива в натуральном и стоимостном выражении за последние 3 года. </w:t>
      </w:r>
    </w:p>
    <w:p>
      <w:pPr>
        <w:spacing w:after="120"/>
        <w:ind w:firstLine="720"/>
        <w:jc w:val="both"/>
      </w:pPr>
      <w:r>
        <w:rPr>
          <w:rFonts w:ascii="Arial" w:cs="Arial" w:eastAsia="Arial" w:hAnsi="Arial"/>
          <w:sz w:val="24"/>
          <w:szCs w:val="24"/>
        </w:rPr>
        <w:t xml:space="preserve">Данные по лимитам энергоносителям (электрическая, тепловая энергия и природный газ) в целом по объекту обследования принимается на основании утвержденных распоряжений и постановлений Кабинета Министров КР , а также приказов уполномоченных государственных органов в сфере энергетики и финансов КР.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СВОДНАЯ ТАБЛИЦА ЭНЕРГОНОСИТЕЛЕЙ ЗА 3 ГОДА</w:t>
      </w:r>
    </w:p>
    <w:p>
      <w:pPr>
        <w:spacing w:after="120"/>
        <w:ind w:firstLine="360"/>
        <w:jc w:val="right"/>
      </w:pPr>
      <w:r>
        <w:rPr>
          <w:rFonts w:ascii="Arial" w:cs="Arial" w:eastAsia="Arial" w:hAnsi="Arial"/>
          <w:b/>
          <w:bCs/>
          <w:sz w:val="24"/>
          <w:szCs w:val="24"/>
        </w:rPr>
        <w:t xml:space="preserve">Таблица 7.11.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2"/>
        <w:gridCol w:w="1612"/>
        <w:gridCol w:w="853"/>
        <w:gridCol w:w="853"/>
        <w:gridCol w:w="860"/>
        <w:gridCol w:w="860"/>
        <w:gridCol w:w="847"/>
        <w:gridCol w:w="847"/>
        <w:gridCol w:w="918"/>
        <w:gridCol w:w="918"/>
      </w:tblGrid>
      <w:tr>
        <w:tc>
          <w:tcPr>
            <w:tcW w:type="dxa" w:w="3224"/>
            <w:gridSpan w:val="2"/>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Наименование энергоресурсов</w:t>
            </w:r>
          </w:p>
        </w:tc>
        <w:tc>
          <w:tcPr>
            <w:tcW w:type="dxa" w:w="1706"/>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Данные энерго-паспорта</w:t>
            </w:r>
          </w:p>
        </w:tc>
        <w:tc>
          <w:tcPr>
            <w:tcW w:type="dxa" w:w="172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20___год</w:t>
            </w:r>
          </w:p>
        </w:tc>
        <w:tc>
          <w:tcPr>
            <w:tcW w:type="dxa" w:w="169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20___год</w:t>
            </w:r>
          </w:p>
        </w:tc>
        <w:tc>
          <w:tcPr>
            <w:tcW w:type="dxa" w:w="1836"/>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20___год</w:t>
            </w:r>
          </w:p>
        </w:tc>
      </w:tr>
      <w:tr>
        <w:tc>
          <w:tcPr>
            <w:tcW w:type="dxa" w:w="32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лимит</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8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лимит</w:t>
            </w:r>
          </w:p>
        </w:tc>
        <w:tc>
          <w:tcPr>
            <w:tcW w:type="dxa" w:w="8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лимит</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лимит</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r>
      <w:tr>
        <w:tc>
          <w:tcPr>
            <w:tcW w:type="dxa" w:w="32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Энергоносители,тыс.сом</w:t>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tcW w:type="dxa" w:w="1612"/>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Электрическая энергия</w:t>
            </w:r>
          </w:p>
        </w:tc>
        <w:tc>
          <w:tcPr>
            <w:tcW w:type="dxa" w:w="161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кВтч</w:t>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сом</w:t>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612"/>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тепловая энергия </w:t>
            </w:r>
          </w:p>
        </w:tc>
        <w:tc>
          <w:tcPr>
            <w:tcW w:type="dxa" w:w="161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Гкал</w:t>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сом</w:t>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61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Природный газ</w:t>
            </w:r>
          </w:p>
        </w:tc>
        <w:tc>
          <w:tcPr>
            <w:tcW w:type="dxa" w:w="161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сом</w:t>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612"/>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уголь</w:t>
            </w:r>
          </w:p>
        </w:tc>
        <w:tc>
          <w:tcPr>
            <w:tcW w:type="dxa" w:w="161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тонн</w:t>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тыс. сом</w:t>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right"/>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6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виды топлива</w:t>
            </w: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85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5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XII</w:t>
      </w:r>
      <w:r>
        <w:rPr>
          <w:rFonts w:ascii="Arial" w:cs="Arial" w:eastAsia="Arial" w:hAnsi="Arial"/>
          <w:b/>
          <w:bCs/>
          <w:sz w:val="24"/>
          <w:szCs w:val="24"/>
        </w:rPr>
        <w:t xml:space="preserve">. Информация об энергоемком энергетическом оборудовании</w:t>
      </w:r>
    </w:p>
    <w:p>
      <w:pPr>
        <w:spacing w:after="120"/>
        <w:ind w:firstLine="36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таблице 7.12. раздела указывается перечень наиболее энергоемкого энергетического оборудования, используемого бюджетной организацией с указанием типа, марки, количества,установленной мощности, числа часов работы в год. Например: использование электродвигателей Чиллеров, насосных скважин, циркуляционных повысительных насосов в котельной и др. </w:t>
      </w:r>
    </w:p>
    <w:p>
      <w:pPr>
        <w:spacing w:after="120"/>
        <w:ind w:firstLine="3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ПЕРЕЧЕНЬ ЭНЕРГОЕМКОГО ОБОРУДОВАНИЯ</w:t>
      </w:r>
    </w:p>
    <w:p>
      <w:pPr>
        <w:spacing w:after="120"/>
        <w:ind w:firstLine="360"/>
        <w:jc w:val="right"/>
      </w:pPr>
      <w:r>
        <w:rPr>
          <w:rFonts w:ascii="Arial" w:cs="Arial" w:eastAsia="Arial" w:hAnsi="Arial"/>
          <w:b/>
          <w:bCs/>
          <w:sz w:val="24"/>
          <w:szCs w:val="24"/>
        </w:rPr>
        <w:t xml:space="preserve">Таблица 7.12.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6"/>
        <w:gridCol w:w="2437"/>
        <w:gridCol w:w="1066"/>
        <w:gridCol w:w="1403"/>
        <w:gridCol w:w="2316"/>
        <w:gridCol w:w="2011"/>
      </w:tblGrid>
      <w:tr>
        <w:tc>
          <w:tcPr>
            <w:tcW w:type="dxa" w:w="9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п/п</w:t>
            </w:r>
          </w:p>
        </w:tc>
        <w:tc>
          <w:tcPr>
            <w:tcW w:type="dxa" w:w="24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 перечень оборудования и двигателей</w:t>
            </w:r>
          </w:p>
        </w:tc>
        <w:tc>
          <w:tcPr>
            <w:tcW w:type="dxa" w:w="10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и марка</w:t>
            </w:r>
          </w:p>
        </w:tc>
        <w:tc>
          <w:tcPr>
            <w:tcW w:type="dxa" w:w="14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(шт)</w:t>
            </w:r>
          </w:p>
        </w:tc>
        <w:tc>
          <w:tcPr>
            <w:tcW w:type="dxa" w:w="23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Установленная мощность</w:t>
            </w:r>
          </w:p>
          <w:p>
            <w:pPr>
              <w:jc w:val="left"/>
            </w:pPr>
            <w:r>
              <w:rPr>
                <w:rFonts w:ascii="Arial" w:cs="Arial" w:eastAsia="Arial" w:hAnsi="Arial"/>
                <w:sz w:val="24"/>
                <w:szCs w:val="24"/>
              </w:rPr>
              <w:t xml:space="preserve"> (кВтч)</w:t>
            </w:r>
          </w:p>
        </w:tc>
        <w:tc>
          <w:tcPr>
            <w:tcW w:type="dxa" w:w="20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часов работы в год ( час/год)</w:t>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XIII</w:t>
      </w:r>
      <w:r>
        <w:rPr>
          <w:rFonts w:ascii="Arial" w:cs="Arial" w:eastAsia="Arial" w:hAnsi="Arial"/>
          <w:b/>
          <w:bCs/>
          <w:sz w:val="24"/>
          <w:szCs w:val="24"/>
        </w:rPr>
        <w:t xml:space="preserve">. Общее потребление электроэнергии и разрешенная мощность, табл. 7.13.</w:t>
      </w:r>
    </w:p>
    <w:p>
      <w:pPr>
        <w:spacing w:after="120"/>
        <w:ind w:firstLine="36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таблице 7.13. раздела указывается годовое фактическое потребление электроэнергии за последние три года и разрешенная мощность согласно Контракта на поставку электроэнергии (п.2).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ОБЩЕЕ ПОТРЕБЛЕНИЕ ЭЛЕКТРОЭНЕРГИИ И РАЗРЕШЕННАЯ МОЩНОСТЬ</w:t>
      </w:r>
    </w:p>
    <w:p>
      <w:pPr>
        <w:spacing w:after="120"/>
        <w:ind w:firstLine="360"/>
        <w:jc w:val="right"/>
      </w:pPr>
      <w:r>
        <w:rPr>
          <w:rFonts w:ascii="Arial" w:cs="Arial" w:eastAsia="Arial" w:hAnsi="Arial"/>
          <w:b/>
          <w:bCs/>
          <w:sz w:val="24"/>
          <w:szCs w:val="24"/>
        </w:rPr>
        <w:t xml:space="preserve">Таблица 7.13.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1"/>
        <w:gridCol w:w="2183"/>
        <w:gridCol w:w="1383"/>
        <w:gridCol w:w="1383"/>
        <w:gridCol w:w="1538"/>
      </w:tblGrid>
      <w:tr>
        <w:tc>
          <w:tcPr>
            <w:tcW w:type="dxa" w:w="36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НАИМЕНОВАНИЕ</w:t>
            </w:r>
          </w:p>
        </w:tc>
        <w:tc>
          <w:tcPr>
            <w:tcW w:type="dxa" w:w="21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Данные энерго-паспорта</w:t>
            </w:r>
          </w:p>
          <w:p>
            <w:pPr>
              <w:jc w:val="center"/>
            </w:pPr>
            <w:r>
              <w:rPr>
                <w:rFonts w:ascii="Arial" w:cs="Arial" w:eastAsia="Arial" w:hAnsi="Arial"/>
                <w:sz w:val="24"/>
                <w:szCs w:val="24"/>
              </w:rPr>
              <w:t xml:space="preserve">(год заполнения)</w:t>
            </w:r>
          </w:p>
        </w:tc>
        <w:tc>
          <w:tcPr>
            <w:tcW w:type="dxa" w:w="138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r>
              <w:rPr>
                <w:rFonts w:ascii="Arial" w:cs="Arial" w:eastAsia="Arial" w:hAnsi="Arial"/>
                <w:b/>
                <w:bCs/>
                <w:sz w:val="24"/>
                <w:szCs w:val="24"/>
              </w:rPr>
              <w:t xml:space="preserve">___ год</w:t>
            </w:r>
          </w:p>
        </w:tc>
        <w:tc>
          <w:tcPr>
            <w:tcW w:type="dxa" w:w="138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r>
              <w:rPr>
                <w:rFonts w:ascii="Arial" w:cs="Arial" w:eastAsia="Arial" w:hAnsi="Arial"/>
                <w:b/>
                <w:bCs/>
                <w:sz w:val="24"/>
                <w:szCs w:val="24"/>
              </w:rPr>
              <w:t xml:space="preserve">__год</w:t>
            </w:r>
          </w:p>
        </w:tc>
        <w:tc>
          <w:tcPr>
            <w:tcW w:type="dxa" w:w="15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20___год</w:t>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потребление электроэнергии, тыс.кВтч</w:t>
            </w:r>
          </w:p>
        </w:tc>
        <w:tc>
          <w:tcPr>
            <w:tcW w:type="dxa" w:w="218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8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8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53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3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Разрешенная мощность (кВт)</w:t>
            </w:r>
          </w:p>
        </w:tc>
        <w:tc>
          <w:tcPr>
            <w:tcW w:type="dxa" w:w="218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3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36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XIV</w:t>
      </w:r>
      <w:r>
        <w:rPr>
          <w:rFonts w:ascii="Arial" w:cs="Arial" w:eastAsia="Arial" w:hAnsi="Arial"/>
          <w:b/>
          <w:bCs/>
          <w:sz w:val="24"/>
          <w:szCs w:val="24"/>
        </w:rPr>
        <w:t xml:space="preserve">. Перечень оборудования и расчетная потребность в электроэнергии</w:t>
      </w:r>
    </w:p>
    <w:p>
      <w:pPr>
        <w:spacing w:after="120"/>
        <w:ind w:firstLine="720"/>
        <w:jc w:val="both"/>
      </w:pPr>
      <w:r>
        <w:rPr>
          <w:rFonts w:ascii="Arial" w:cs="Arial" w:eastAsia="Arial" w:hAnsi="Arial"/>
          <w:sz w:val="24"/>
          <w:szCs w:val="24"/>
        </w:rPr>
        <w:t xml:space="preserve">В таблице 7.14. раздела (см. ниже) указывается перечень энергетического и токопринимающего оборудования, используемого бюджетной организацией с указанием типа, марки и мощности, полученной согласно паспортным данным оборудования. Пример основных сведений и параметры электрооборудования при заполнении таблицы 7.14 представлен в таблице 7.14.а. Расчетная потребность в электроэнергии определяется согласно формулы 9.2.1. и 9.2.2 раздела 9 настоящей Методики.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Основные сведения и параметры электрооборудования (пример к заполнению таблицы 7.14.)</w:t>
      </w:r>
    </w:p>
    <w:p>
      <w:pPr>
        <w:spacing w:after="120"/>
        <w:jc w:val="right"/>
      </w:pPr>
      <w:r>
        <w:rPr>
          <w:rFonts w:ascii="Arial" w:cs="Arial" w:eastAsia="Arial" w:hAnsi="Arial"/>
          <w:b/>
          <w:bCs/>
          <w:sz w:val="24"/>
          <w:szCs w:val="24"/>
        </w:rPr>
        <w:t xml:space="preserve">Табл. 7.14.а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9"/>
        <w:gridCol w:w="3062"/>
        <w:gridCol w:w="1644"/>
        <w:gridCol w:w="2223"/>
        <w:gridCol w:w="1159"/>
        <w:gridCol w:w="1501"/>
      </w:tblGrid>
      <w:tr>
        <w:tc>
          <w:tcPr>
            <w:tcW w:type="dxa" w:w="58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306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Оборудование</w:t>
            </w:r>
          </w:p>
        </w:tc>
        <w:tc>
          <w:tcPr>
            <w:tcW w:type="dxa" w:w="164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Марка,тип</w:t>
            </w:r>
          </w:p>
        </w:tc>
        <w:tc>
          <w:tcPr>
            <w:tcW w:type="dxa" w:w="22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помещения</w:t>
            </w:r>
          </w:p>
        </w:tc>
        <w:tc>
          <w:tcPr>
            <w:tcW w:type="dxa" w:w="115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Кол-во (шт)</w:t>
            </w:r>
          </w:p>
        </w:tc>
        <w:tc>
          <w:tcPr>
            <w:tcW w:type="dxa" w:w="150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Мощность (кВтч)</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Электрическая плита для приготовления пищи</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н/опред.</w:t>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Столовая объекта энергоаудита</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Водонагреватель (</w:t>
            </w:r>
            <w:r>
              <w:rPr>
                <w:rFonts w:ascii="Arial" w:cs="Arial" w:eastAsia="Arial" w:hAnsi="Arial"/>
                <w:sz w:val="24"/>
                <w:szCs w:val="24"/>
              </w:rPr>
              <w:t xml:space="preserve">8</w:t>
            </w:r>
            <w:r>
              <w:rPr>
                <w:rFonts w:ascii="Arial" w:cs="Arial" w:eastAsia="Arial" w:hAnsi="Arial"/>
                <w:sz w:val="24"/>
                <w:szCs w:val="24"/>
              </w:rPr>
              <w:t xml:space="preserve">0 л)</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Thermex bio glasslined</w:t>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Объект энергоаудита</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5</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Водонагреватель (30 л)</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Thermex bio glasslined</w:t>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Начальная школа </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,5</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Водонагреватель (15 л)</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Thermex bio glasslined</w:t>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Средняя школа</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5</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Швейная машинка</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Чайка</w:t>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Кабинет домоводства</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Компьютер  </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0,3</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Электромотор </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АИР 100</w:t>
            </w:r>
            <w:r>
              <w:rPr>
                <w:rFonts w:ascii="Arial" w:cs="Arial" w:eastAsia="Arial" w:hAnsi="Arial"/>
                <w:sz w:val="24"/>
                <w:szCs w:val="24"/>
              </w:rPr>
              <w:t xml:space="preserve">L2</w:t>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Котельная </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5,5</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Электроподдув </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Котельная </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Электрическая плитка</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Злата</w:t>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Котельная </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Электрические лампы для освещения (л/накала)</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Объект энергоаудита</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151</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w:t>
            </w:r>
          </w:p>
        </w:tc>
      </w:tr>
      <w:tr>
        <w:tc>
          <w:tcPr>
            <w:tcW w:type="dxa" w:w="5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30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Электрические лампы для освещения (э/сберегающ)</w:t>
            </w:r>
          </w:p>
        </w:tc>
        <w:tc>
          <w:tcPr>
            <w:tcW w:type="dxa" w:w="16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Объект энергоаудита</w:t>
            </w:r>
          </w:p>
        </w:tc>
        <w:tc>
          <w:tcPr>
            <w:tcW w:type="dxa" w:w="115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c>
          <w:tcPr>
            <w:tcW w:type="dxa" w:w="15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0,024</w:t>
            </w:r>
          </w:p>
        </w:tc>
      </w:tr>
    </w:tbl>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XV</w:t>
      </w:r>
      <w:r>
        <w:rPr>
          <w:rFonts w:ascii="Arial" w:cs="Arial" w:eastAsia="Arial" w:hAnsi="Arial"/>
          <w:b/>
          <w:bCs/>
          <w:sz w:val="24"/>
          <w:szCs w:val="24"/>
        </w:rPr>
        <w:t xml:space="preserve">. Электроснабжение. Характеристика внешних питающих фидеров (кабельных и воздушных линий)</w:t>
      </w:r>
    </w:p>
    <w:p>
      <w:pPr>
        <w:spacing w:after="120"/>
        <w:ind w:firstLine="36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Описание характеристики внешних питающих фидеров,кабельных и воздушных линий электроснабжения (табл. 7.15) получены согласно Технических условий и приложений к Контракту на снабжение электрической энергии, заключенным между электроснабжающей организацией и бюджетной организацией.</w:t>
      </w:r>
    </w:p>
    <w:p>
      <w:pPr>
        <w:spacing w:after="120"/>
        <w:ind w:firstLine="720"/>
        <w:jc w:val="both"/>
      </w:pPr>
      <w:r>
        <w:rPr>
          <w:rFonts w:ascii="Arial" w:cs="Arial" w:eastAsia="Arial" w:hAnsi="Arial"/>
          <w:sz w:val="24"/>
          <w:szCs w:val="24"/>
        </w:rPr>
        <w:t xml:space="preserve">В случае отдельного учета электрической энергии небюджетных потребителей, размещенных в зданиях бюджетных организаций необходимо указать также информацию согласно технических условий, выданных поставщиком электроэнергии.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5uvggi4feaxb0ovv74je">
      <w:r>
        <w:rPr>
          <w:rFonts w:ascii="Arial" w:cs="Arial" w:eastAsia="Arial" w:hAnsi="Arial"/>
          <w:color w:val="132D3F"/>
          <w:sz w:val="16"/>
          <w:szCs w:val="16"/>
          <w:u w:val="single"/>
        </w:rPr>
        <w:t xml:space="preserve">dalil.kg/document/230034177</w:t>
      </w:r>
    </w:hyperlink>
  </w:p>
  <w:p>
    <w:pPr>
      <w:spacing w:after="0" w:before="40"/>
      <w:jc w:val="center"/>
    </w:pPr>
    <w:hyperlink w:history="1" r:id="rIdzzvsai_vlnjlonw93fdx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5uvggi4feaxb0ovv74je" Type="http://schemas.openxmlformats.org/officeDocument/2006/relationships/hyperlink" Target="https://dalil.kg/document/230034177" TargetMode="External"/><Relationship Id="rIdzzvsai_vlnjlonw93fdx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2026-09-27T06:00:43.487Z</dcterms:created>
  <dcterms:modified xsi:type="dcterms:W3CDTF">2026-09-27T06:00:43.487Z</dcterms:modified>
</cp:coreProperties>
</file>

<file path=docProps/custom.xml><?xml version="1.0" encoding="utf-8"?>
<Properties xmlns="http://schemas.openxmlformats.org/officeDocument/2006/custom-properties" xmlns:vt="http://schemas.openxmlformats.org/officeDocument/2006/docPropsVTypes"/>
</file>