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сентября 2025 года № 625</w:t>
      </w:r>
    </w:p>
    <w:p>
      <w:pPr>
        <w:spacing w:after="240" w:before="200"/>
        <w:jc w:val="center"/>
      </w:pPr>
      <w:r>
        <w:rPr>
          <w:rFonts w:ascii="Arial" w:cs="Arial" w:eastAsia="Arial" w:hAnsi="Arial"/>
          <w:b/>
          <w:bCs/>
          <w:sz w:val="28"/>
          <w:szCs w:val="28"/>
        </w:rPr>
        <w:t xml:space="preserve">О внесении изменений в некоторые постановления</w:t>
      </w:r>
    </w:p>
    <w:p>
      <w:pPr>
        <w:spacing w:after="240" w:before="200"/>
        <w:jc w:val="center"/>
      </w:pPr>
      <w:r>
        <w:rPr>
          <w:rFonts w:ascii="Arial" w:cs="Arial" w:eastAsia="Arial" w:hAnsi="Arial"/>
          <w:b/>
          <w:bCs/>
          <w:sz w:val="28"/>
          <w:szCs w:val="28"/>
        </w:rPr>
        <w:t xml:space="preserve">Кабинета Министров Кыргызской Республики</w:t>
      </w:r>
    </w:p>
    <w:p>
      <w:pPr>
        <w:spacing w:after="240" w:before="200"/>
        <w:jc w:val="center"/>
      </w:pPr>
      <w:r>
        <w:rPr>
          <w:rFonts w:ascii="Arial" w:cs="Arial" w:eastAsia="Arial" w:hAnsi="Arial"/>
          <w:b/>
          <w:bCs/>
          <w:sz w:val="28"/>
          <w:szCs w:val="28"/>
        </w:rPr>
        <w:t xml:space="preserve">в сфере оборота виртуальных активов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повышения эффективности деятельности поставщиков услуг виртуальных активов, в соответствии со статьями </w:t>
      </w:r>
      <w:hyperlink w:history="1" r:id="rIdpoeggykvqikm9kultgb-u">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l1ucwzbsejjvqt8cgefsa">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_m5mjaigdc0cd8ruzfelk">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2lns4luc-y4t38cxtnw_a">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4oiszva8bm5wxp8byfly-">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l6zr5ql4kkub-me6cnays">
        <w:r>
          <w:rPr>
            <w:rFonts w:ascii="Arial" w:cs="Arial" w:eastAsia="Arial" w:hAnsi="Arial"/>
            <w:color w:val="1D4ED8"/>
            <w:sz w:val="24"/>
            <w:szCs w:val="24"/>
            <w:u w:val="single"/>
          </w:rPr>
          <w:t xml:space="preserve">28</w:t>
        </w:r>
      </w:hyperlink>
      <w:r>
        <w:rPr>
          <w:rFonts w:ascii="Arial" w:cs="Arial" w:eastAsia="Arial" w:hAnsi="Arial"/>
          <w:sz w:val="24"/>
          <w:szCs w:val="24"/>
        </w:rPr>
        <w:t xml:space="preserve"> Закона Кыргызской Республики «О виртуальных активах», статьями </w:t>
      </w:r>
      <w:hyperlink w:history="1" r:id="rIdqvpgbrx4j5am4tkda2am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2qknmywbpeudlcif5ut0">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wswpvdyzz4a8_do4itr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и организаций Министерства экономики и коммерции Кыргызской Республики» от 10 декабря 2021 года № 300 следующие изменения:</w:t>
      </w:r>
    </w:p>
    <w:p>
      <w:pPr>
        <w:spacing w:after="120"/>
        <w:ind w:firstLine="397"/>
        <w:jc w:val="both"/>
      </w:pPr>
      <w:r>
        <w:rPr>
          <w:rFonts w:ascii="Arial" w:cs="Arial" w:eastAsia="Arial" w:hAnsi="Arial"/>
          <w:sz w:val="24"/>
          <w:szCs w:val="24"/>
        </w:rPr>
        <w:t xml:space="preserve">в </w:t>
      </w:r>
      <w:hyperlink w:history="1" r:id="rIdlbhmxnpnygyyzepwr81o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Службе регулирования и надзора за финансовым рынком при Министерстве экономики и коммерции Кыргызской Республики, утвержденном вышеуказанным </w:t>
      </w:r>
      <w:hyperlink w:history="1" r:id="rIdf2tldccraklrk4g9q8t6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w:t>
      </w:r>
      <w:hyperlink w:history="1" r:id="rIdz3ahy8dyligdx4ytxbmff">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после слов «рынок ценных бумаг» дополнить словами «; рынок виртуальных активов»;</w:t>
      </w:r>
    </w:p>
    <w:p>
      <w:pPr>
        <w:spacing w:after="120"/>
        <w:ind w:firstLine="397"/>
        <w:jc w:val="both"/>
      </w:pPr>
      <w:r>
        <w:rPr>
          <w:rFonts w:ascii="Arial" w:cs="Arial" w:eastAsia="Arial" w:hAnsi="Arial"/>
          <w:sz w:val="24"/>
          <w:szCs w:val="24"/>
        </w:rPr>
        <w:t xml:space="preserve">– </w:t>
      </w:r>
      <w:hyperlink w:history="1" r:id="rIdiq7i9vpcz93fbs4k9xblw">
        <w:r>
          <w:rPr>
            <w:rFonts w:ascii="Arial" w:cs="Arial" w:eastAsia="Arial" w:hAnsi="Arial"/>
            <w:color w:val="1D4ED8"/>
            <w:sz w:val="24"/>
            <w:szCs w:val="24"/>
            <w:u w:val="single"/>
          </w:rPr>
          <w:t xml:space="preserve">пункт 14</w:t>
        </w:r>
      </w:hyperlink>
      <w:r>
        <w:rPr>
          <w:rFonts w:ascii="Arial" w:cs="Arial" w:eastAsia="Arial" w:hAnsi="Arial"/>
          <w:sz w:val="24"/>
          <w:szCs w:val="24"/>
        </w:rPr>
        <w:t xml:space="preserve"> дополнить подпунктом 50 следующего содержания:</w:t>
      </w:r>
    </w:p>
    <w:p>
      <w:pPr>
        <w:spacing w:after="120"/>
        <w:ind w:firstLine="397"/>
        <w:jc w:val="both"/>
      </w:pPr>
      <w:r>
        <w:rPr>
          <w:rFonts w:ascii="Arial" w:cs="Arial" w:eastAsia="Arial" w:hAnsi="Arial"/>
          <w:sz w:val="24"/>
          <w:szCs w:val="24"/>
        </w:rPr>
        <w:t xml:space="preserve">«50) в ходе мониторинга и проверки поставщиков услуг виртуальных активов осуществлять контрольный закуп виртуальных активов за счет средств специализированного фонда, созданного для этих целей, по мере необходимости.»;</w:t>
      </w:r>
    </w:p>
    <w:p>
      <w:pPr>
        <w:spacing w:after="120"/>
        <w:ind w:firstLine="397"/>
        <w:jc w:val="both"/>
      </w:pPr>
      <w:r>
        <w:rPr>
          <w:rFonts w:ascii="Arial" w:cs="Arial" w:eastAsia="Arial" w:hAnsi="Arial"/>
          <w:sz w:val="24"/>
          <w:szCs w:val="24"/>
        </w:rPr>
        <w:t xml:space="preserve">– </w:t>
      </w:r>
      <w:hyperlink w:history="1" r:id="rIdj_qwftfxh5baso7hwozx6">
        <w:r>
          <w:rPr>
            <w:rFonts w:ascii="Arial" w:cs="Arial" w:eastAsia="Arial" w:hAnsi="Arial"/>
            <w:color w:val="1D4ED8"/>
            <w:sz w:val="24"/>
            <w:szCs w:val="24"/>
            <w:u w:val="single"/>
          </w:rPr>
          <w:t xml:space="preserve">пункт 20</w:t>
        </w:r>
      </w:hyperlink>
      <w:r>
        <w:rPr>
          <w:rFonts w:ascii="Arial" w:cs="Arial" w:eastAsia="Arial" w:hAnsi="Arial"/>
          <w:sz w:val="24"/>
          <w:szCs w:val="24"/>
        </w:rPr>
        <w:t xml:space="preserve"> дополнить абзацем четвертым следующего содержания:</w:t>
      </w:r>
    </w:p>
    <w:p>
      <w:pPr>
        <w:spacing w:after="120"/>
        <w:ind w:firstLine="397"/>
        <w:jc w:val="both"/>
      </w:pPr>
      <w:r>
        <w:rPr>
          <w:rFonts w:ascii="Arial" w:cs="Arial" w:eastAsia="Arial" w:hAnsi="Arial"/>
          <w:sz w:val="24"/>
          <w:szCs w:val="24"/>
        </w:rPr>
        <w:t xml:space="preserve">«– средств фонда, созданного в целях осуществления контрольных закупок виртуальных активов у поставщиков услуг виртуальных активов;».</w:t>
      </w:r>
    </w:p>
    <w:p>
      <w:pPr>
        <w:spacing w:after="120"/>
        <w:ind w:firstLine="397"/>
        <w:jc w:val="both"/>
      </w:pPr>
      <w:r>
        <w:rPr>
          <w:rFonts w:ascii="Arial" w:cs="Arial" w:eastAsia="Arial" w:hAnsi="Arial"/>
          <w:sz w:val="24"/>
          <w:szCs w:val="24"/>
        </w:rPr>
        <w:t xml:space="preserve">2. Внести в </w:t>
      </w:r>
      <w:hyperlink w:history="1" r:id="rId508b53ewuarsbuf1ads2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регулирования отношений, возникающих при обороте виртуальных активов» от 16 сентября 2022 года № 514 следующие изменения:</w:t>
      </w:r>
    </w:p>
    <w:p>
      <w:pPr>
        <w:spacing w:after="120"/>
        <w:ind w:firstLine="397"/>
        <w:jc w:val="both"/>
      </w:pPr>
      <w:r>
        <w:rPr>
          <w:rFonts w:ascii="Arial" w:cs="Arial" w:eastAsia="Arial" w:hAnsi="Arial"/>
          <w:sz w:val="24"/>
          <w:szCs w:val="24"/>
        </w:rPr>
        <w:t xml:space="preserve">1) в </w:t>
      </w:r>
      <w:hyperlink w:history="1" r:id="rId3dzpoykexpe9ynmpqxrd6">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деятельности оператора торгов виртуальных активов (криптобиржи) и ведении Реестра операторов торгов виртуальных активов (криптобирж), утвержденном вышеуказанным </w:t>
      </w:r>
      <w:hyperlink w:history="1" r:id="rIdd3ihsmfbxr3p13e5atrb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абзацы второй – четвертый </w:t>
      </w:r>
      <w:hyperlink w:history="1" r:id="rIdyrkdjfyoiwixx9grsgxgo">
        <w:r>
          <w:rPr>
            <w:rFonts w:ascii="Arial" w:cs="Arial" w:eastAsia="Arial" w:hAnsi="Arial"/>
            <w:color w:val="1D4ED8"/>
            <w:sz w:val="24"/>
            <w:szCs w:val="24"/>
            <w:u w:val="single"/>
          </w:rPr>
          <w:t xml:space="preserve">пункта 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оператора торгов виртуальных активов (криптобиржу) либо физическое лицо, от имени или в интересах которого совершается операция (сделка);</w:t>
      </w:r>
    </w:p>
    <w:p>
      <w:pPr>
        <w:spacing w:after="120"/>
        <w:ind w:firstLine="397"/>
        <w:jc w:val="both"/>
      </w:pPr>
      <w:r>
        <w:rPr>
          <w:rFonts w:ascii="Arial" w:cs="Arial" w:eastAsia="Arial" w:hAnsi="Arial"/>
          <w:sz w:val="24"/>
          <w:szCs w:val="24"/>
        </w:rPr>
        <w:t xml:space="preserve">клиент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оператора торгов виртуальных активов (криптобиржи) либо с которыми оператор торгов виртуальных активов (криптобиржа) устанавливает или установил деловые отношения;</w:t>
      </w:r>
    </w:p>
    <w:p>
      <w:pPr>
        <w:spacing w:after="120"/>
        <w:ind w:firstLine="397"/>
        <w:jc w:val="both"/>
      </w:pPr>
      <w:r>
        <w:rPr>
          <w:rFonts w:ascii="Arial" w:cs="Arial" w:eastAsia="Arial" w:hAnsi="Arial"/>
          <w:sz w:val="24"/>
          <w:szCs w:val="24"/>
        </w:rPr>
        <w:t xml:space="preserve">процентный скоринг – это количественная оценка уровня риска виртуального актива или виртуального кошелька, основанная на анализе его поведения, операций и иных факторов, связанных с возможностью использования в противоправных действиях, таких как отмывание денег или финансирование терроризма;»;</w:t>
      </w:r>
    </w:p>
    <w:p>
      <w:pPr>
        <w:spacing w:after="120"/>
        <w:ind w:firstLine="397"/>
        <w:jc w:val="both"/>
      </w:pPr>
      <w:r>
        <w:rPr>
          <w:rFonts w:ascii="Arial" w:cs="Arial" w:eastAsia="Arial" w:hAnsi="Arial"/>
          <w:sz w:val="24"/>
          <w:szCs w:val="24"/>
        </w:rPr>
        <w:t xml:space="preserve">– </w:t>
      </w:r>
      <w:hyperlink w:history="1" r:id="rIdw9s15tezuqcjszreehjbl">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«5. В случае если оператор торгов виртуальных активов (криптобиржа) хранит активы пользователей на своих балансах, он обязан обеспечить раздельный учет финансовых активов оператора торгов виртуальных активов (криптобиржи), электронных виртуальных активов, денежных средств, находящихся у оператора торгов виртуальных активов (криптобиржи).»;</w:t>
      </w:r>
    </w:p>
    <w:p>
      <w:pPr>
        <w:spacing w:after="120"/>
        <w:ind w:firstLine="397"/>
        <w:jc w:val="both"/>
      </w:pPr>
      <w:r>
        <w:rPr>
          <w:rFonts w:ascii="Arial" w:cs="Arial" w:eastAsia="Arial" w:hAnsi="Arial"/>
          <w:sz w:val="24"/>
          <w:szCs w:val="24"/>
        </w:rPr>
        <w:t xml:space="preserve">– абзац третий </w:t>
      </w:r>
      <w:hyperlink w:history="1" r:id="rId8hg67fl68jf9ps7rns0jr">
        <w:r>
          <w:rPr>
            <w:rFonts w:ascii="Arial" w:cs="Arial" w:eastAsia="Arial" w:hAnsi="Arial"/>
            <w:color w:val="1D4ED8"/>
            <w:sz w:val="24"/>
            <w:szCs w:val="24"/>
            <w:u w:val="single"/>
          </w:rPr>
          <w:t xml:space="preserve">пункта 11</w:t>
        </w:r>
      </w:hyperlink>
      <w:r>
        <w:rPr>
          <w:rFonts w:ascii="Arial" w:cs="Arial" w:eastAsia="Arial" w:hAnsi="Arial"/>
          <w:sz w:val="24"/>
          <w:szCs w:val="24"/>
        </w:rPr>
        <w:t xml:space="preserve"> на государственном языке признать утратившим силу;</w:t>
      </w:r>
    </w:p>
    <w:p>
      <w:pPr>
        <w:spacing w:after="120"/>
        <w:ind w:firstLine="397"/>
        <w:jc w:val="both"/>
      </w:pPr>
      <w:r>
        <w:rPr>
          <w:rFonts w:ascii="Arial" w:cs="Arial" w:eastAsia="Arial" w:hAnsi="Arial"/>
          <w:sz w:val="24"/>
          <w:szCs w:val="24"/>
        </w:rPr>
        <w:t xml:space="preserve">– </w:t>
      </w:r>
      <w:hyperlink w:history="1" r:id="rIda4mtgu4yzi5n38w4df7nf">
        <w:r>
          <w:rPr>
            <w:rFonts w:ascii="Arial" w:cs="Arial" w:eastAsia="Arial" w:hAnsi="Arial"/>
            <w:color w:val="1D4ED8"/>
            <w:sz w:val="24"/>
            <w:szCs w:val="24"/>
            <w:u w:val="single"/>
          </w:rPr>
          <w:t xml:space="preserve">пункт 18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«18. Централизованный оператор торгов виртуальных активов (криптобиржа) обязан при установлении отношений с клиентом провести его идентификацию либо удаленную идентификацию, а также верификацию либо удаленную верификацию идентификационных данных в соответствии с законодательством в сфере противодействия финансированию преступной деятельности и легализации (отмыванию) преступных доходов, а также в сфере оборота виртуальных активов.</w:t>
      </w:r>
    </w:p>
    <w:p>
      <w:pPr>
        <w:spacing w:after="120"/>
        <w:ind w:firstLine="397"/>
        <w:jc w:val="both"/>
      </w:pPr>
      <w:r>
        <w:rPr>
          <w:rFonts w:ascii="Arial" w:cs="Arial" w:eastAsia="Arial" w:hAnsi="Arial"/>
          <w:sz w:val="24"/>
          <w:szCs w:val="24"/>
        </w:rPr>
        <w:t xml:space="preserve">Все проверки транзакций клиентов с виртуальными активами в целях соблюдения требований по противодействию финансированию преступной деятельности и легализации (отмыванию) преступных доходов (AML и KYT) в обязательном порядке должны проводиться с использованием информационной системы (программного обеспечения) поставщика AML/KYT-услуг, определенного уполномоченным органом.</w:t>
      </w:r>
    </w:p>
    <w:p>
      <w:pPr>
        <w:spacing w:after="120"/>
        <w:ind w:firstLine="397"/>
        <w:jc w:val="both"/>
      </w:pPr>
      <w:r>
        <w:rPr>
          <w:rFonts w:ascii="Arial" w:cs="Arial" w:eastAsia="Arial" w:hAnsi="Arial"/>
          <w:sz w:val="24"/>
          <w:szCs w:val="24"/>
        </w:rPr>
        <w:t xml:space="preserve">Процентный скоринг определяется уполномоченным органом.»;</w:t>
      </w:r>
    </w:p>
    <w:p>
      <w:pPr>
        <w:spacing w:after="120"/>
        <w:ind w:firstLine="397"/>
        <w:jc w:val="both"/>
      </w:pPr>
      <w:r>
        <w:rPr>
          <w:rFonts w:ascii="Arial" w:cs="Arial" w:eastAsia="Arial" w:hAnsi="Arial"/>
          <w:sz w:val="24"/>
          <w:szCs w:val="24"/>
        </w:rPr>
        <w:t xml:space="preserve">– дополнить </w:t>
      </w:r>
      <w:hyperlink w:history="1" r:id="rIdr0yyxikujymarbereowt7">
        <w:r>
          <w:rPr>
            <w:rFonts w:ascii="Arial" w:cs="Arial" w:eastAsia="Arial" w:hAnsi="Arial"/>
            <w:color w:val="1D4ED8"/>
            <w:sz w:val="24"/>
            <w:szCs w:val="24"/>
            <w:u w:val="single"/>
          </w:rPr>
          <w:t xml:space="preserve">пунктом 18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До совершения сделок по продаже клиентам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торгов виртуальных активов (криптобиржа) обязан убедиться в наличии у клиентов достаточного уровня знаний (компетентности), необходимого для совершения указанных сделок. </w:t>
      </w:r>
    </w:p>
    <w:p>
      <w:pPr>
        <w:spacing w:after="120"/>
        <w:ind w:firstLine="397"/>
        <w:jc w:val="both"/>
      </w:pPr>
      <w:r>
        <w:rPr>
          <w:rFonts w:ascii="Arial" w:cs="Arial" w:eastAsia="Arial" w:hAnsi="Arial"/>
          <w:sz w:val="24"/>
          <w:szCs w:val="24"/>
        </w:rPr>
        <w:t xml:space="preserve">Оператор торгов виртуальных активов (криптобиржа) не вправе заключать указанные сделки с клиентами, в отношении которых установлено отсутствие необходимого уровня знаний (компетентности).</w:t>
      </w:r>
    </w:p>
    <w:p>
      <w:pPr>
        <w:spacing w:after="120"/>
        <w:ind w:firstLine="397"/>
        <w:jc w:val="both"/>
      </w:pPr>
      <w:r>
        <w:rPr>
          <w:rFonts w:ascii="Arial" w:cs="Arial" w:eastAsia="Arial" w:hAnsi="Arial"/>
          <w:sz w:val="24"/>
          <w:szCs w:val="24"/>
        </w:rPr>
        <w:t xml:space="preserve">Определение уровня знаний (компетентности) для совершения сделок, указанных в настоящем пункте, производится оператором торгов виртуальных активов (криптобиржей) посредством представления клиентам вопросника (теста) для заполнения (решения).</w:t>
      </w:r>
    </w:p>
    <w:p>
      <w:pPr>
        <w:spacing w:after="120"/>
        <w:ind w:firstLine="39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p>
    <w:p>
      <w:pPr>
        <w:spacing w:after="120"/>
        <w:ind w:firstLine="39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(тридцать) календарных дней со дня регистрации уведомления информирует оператора торгов виртуальных активов о необходимости проработки вопросника (теста).</w:t>
      </w:r>
    </w:p>
    <w:p>
      <w:pPr>
        <w:spacing w:after="120"/>
        <w:ind w:firstLine="397"/>
        <w:jc w:val="both"/>
      </w:pPr>
      <w:r>
        <w:rPr>
          <w:rFonts w:ascii="Arial" w:cs="Arial" w:eastAsia="Arial" w:hAnsi="Arial"/>
          <w:sz w:val="24"/>
          <w:szCs w:val="24"/>
        </w:rPr>
        <w:t xml:space="preserve">Оператор торгов виртуальных активов (криптобиржа) должен информировать клиента о рисках при осуществлении сделок с виртуальными активами через все доступные и понятные каналы, включая и не исключая уведомления на платформе, электронные письма, текстовые и видеоматериалы, а также в процессе регистрации или перед осуществлением первой сделки.»;</w:t>
      </w:r>
    </w:p>
    <w:p>
      <w:pPr>
        <w:spacing w:after="120"/>
        <w:ind w:firstLine="397"/>
        <w:jc w:val="both"/>
      </w:pPr>
      <w:r>
        <w:rPr>
          <w:rFonts w:ascii="Arial" w:cs="Arial" w:eastAsia="Arial" w:hAnsi="Arial"/>
          <w:sz w:val="24"/>
          <w:szCs w:val="24"/>
        </w:rPr>
        <w:t xml:space="preserve">– в </w:t>
      </w:r>
      <w:hyperlink w:history="1" r:id="rIdvd99qggzrl1sfgtyd1ltv">
        <w:r>
          <w:rPr>
            <w:rFonts w:ascii="Arial" w:cs="Arial" w:eastAsia="Arial" w:hAnsi="Arial"/>
            <w:color w:val="1D4ED8"/>
            <w:sz w:val="24"/>
            <w:szCs w:val="24"/>
            <w:u w:val="single"/>
          </w:rPr>
          <w:t xml:space="preserve">пункте 23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слово «террористической» заменить словом «преступной»; </w:t>
      </w:r>
    </w:p>
    <w:p>
      <w:pPr>
        <w:spacing w:after="120"/>
        <w:ind w:firstLine="397"/>
        <w:jc w:val="both"/>
      </w:pPr>
      <w:r>
        <w:rPr>
          <w:rFonts w:ascii="Arial" w:cs="Arial" w:eastAsia="Arial" w:hAnsi="Arial"/>
          <w:sz w:val="24"/>
          <w:szCs w:val="24"/>
        </w:rPr>
        <w:t xml:space="preserve">дополнить абзацами следующего содержания:</w:t>
      </w:r>
    </w:p>
    <w:p>
      <w:pPr>
        <w:spacing w:after="120"/>
        <w:ind w:firstLine="397"/>
        <w:jc w:val="both"/>
      </w:pPr>
      <w:r>
        <w:rPr>
          <w:rFonts w:ascii="Arial" w:cs="Arial" w:eastAsia="Arial" w:hAnsi="Arial"/>
          <w:sz w:val="24"/>
          <w:szCs w:val="24"/>
        </w:rPr>
        <w:t xml:space="preserve">«– вопросник (тест), определяющий уровень знаний (компетентности) клиентов.</w:t>
      </w:r>
    </w:p>
    <w:p>
      <w:pPr>
        <w:spacing w:after="120"/>
        <w:ind w:firstLine="397"/>
        <w:jc w:val="both"/>
      </w:pPr>
      <w:r>
        <w:rPr>
          <w:rFonts w:ascii="Arial" w:cs="Arial" w:eastAsia="Arial" w:hAnsi="Arial"/>
          <w:sz w:val="24"/>
          <w:szCs w:val="24"/>
        </w:rPr>
        <w:t xml:space="preserve">Правила биржевой торговли с виртуальными активами должны быть опубликованы на интернет-сайте оператора торгов виртуальными активами и доступны для ознакомления всеми участниками торгов.»;</w:t>
      </w:r>
    </w:p>
    <w:p>
      <w:pPr>
        <w:spacing w:after="120"/>
        <w:ind w:firstLine="397"/>
        <w:jc w:val="both"/>
      </w:pPr>
      <w:r>
        <w:rPr>
          <w:rFonts w:ascii="Arial" w:cs="Arial" w:eastAsia="Arial" w:hAnsi="Arial"/>
          <w:sz w:val="24"/>
          <w:szCs w:val="24"/>
        </w:rPr>
        <w:t xml:space="preserve">– дополнить </w:t>
      </w:r>
      <w:hyperlink w:history="1" r:id="rIdb4rcaab1dlqshupngs0no">
        <w:r>
          <w:rPr>
            <w:rFonts w:ascii="Arial" w:cs="Arial" w:eastAsia="Arial" w:hAnsi="Arial"/>
            <w:color w:val="1D4ED8"/>
            <w:sz w:val="24"/>
            <w:szCs w:val="24"/>
            <w:u w:val="single"/>
          </w:rPr>
          <w:t xml:space="preserve">пунктом 25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Оператор торгов виртуальных активов (криптобиржа) вправе устанавливать отношения с клиентами, которыми могут быть как резиденты, так и нерезиденты Кыргызской Республики, за исключением случаев, предусмотренных настоящим Положением 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Отношения оператора торгов виртуальных активов (криптобиржи) с клиентами должны строиться на договорной основе и/или публичной оферте.</w:t>
      </w:r>
    </w:p>
    <w:p>
      <w:pPr>
        <w:spacing w:after="120"/>
        <w:ind w:firstLine="397"/>
        <w:jc w:val="both"/>
      </w:pPr>
      <w:r>
        <w:rPr>
          <w:rFonts w:ascii="Arial" w:cs="Arial" w:eastAsia="Arial" w:hAnsi="Arial"/>
          <w:sz w:val="24"/>
          <w:szCs w:val="24"/>
        </w:rPr>
        <w:t xml:space="preserve">В договорах и/или публичной оферте, посредством которых устанавливаются отношения с клиентами, оператор торгов виртуальных активов (криптобиржа) обязан учитывать условия, предусмотренные настоящим Положением, </w:t>
      </w:r>
      <w:hyperlink w:history="1" r:id="rIdcdbcbxtkcayomwjnp9kq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а также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Принятие клиентом публичной оферты должно быть полным и безоговорочным. Совершение клиентом, получившим публичную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законодательством в области гражданского права или не указано в публичной оферте.»;</w:t>
      </w:r>
    </w:p>
    <w:p>
      <w:pPr>
        <w:spacing w:after="120"/>
        <w:ind w:firstLine="397"/>
        <w:jc w:val="both"/>
      </w:pPr>
      <w:r>
        <w:rPr>
          <w:rFonts w:ascii="Arial" w:cs="Arial" w:eastAsia="Arial" w:hAnsi="Arial"/>
          <w:sz w:val="24"/>
          <w:szCs w:val="24"/>
        </w:rPr>
        <w:t xml:space="preserve">– </w:t>
      </w:r>
      <w:hyperlink w:history="1" r:id="rIdutbkva8yygl5uaq2asjgi">
        <w:r>
          <w:rPr>
            <w:rFonts w:ascii="Arial" w:cs="Arial" w:eastAsia="Arial" w:hAnsi="Arial"/>
            <w:color w:val="1D4ED8"/>
            <w:sz w:val="24"/>
            <w:szCs w:val="24"/>
            <w:u w:val="single"/>
          </w:rPr>
          <w:t xml:space="preserve">пункт 29</w:t>
        </w:r>
      </w:hyperlink>
      <w:r>
        <w:rPr>
          <w:rFonts w:ascii="Arial" w:cs="Arial" w:eastAsia="Arial" w:hAnsi="Arial"/>
          <w:sz w:val="24"/>
          <w:szCs w:val="24"/>
        </w:rPr>
        <w:t xml:space="preserve"> дополнить абзацем третьим следующего содержания: </w:t>
      </w:r>
    </w:p>
    <w:p>
      <w:pPr>
        <w:spacing w:after="120"/>
        <w:ind w:firstLine="397"/>
        <w:jc w:val="both"/>
      </w:pPr>
      <w:r>
        <w:rPr>
          <w:rFonts w:ascii="Arial" w:cs="Arial" w:eastAsia="Arial" w:hAnsi="Arial"/>
          <w:sz w:val="24"/>
          <w:szCs w:val="24"/>
        </w:rPr>
        <w:t xml:space="preserve">«– обеспечить хранение информации о результатах заполнения (прохождения) клиентами вопросника (теста) на протяжении срока не менее пяти лет;»;</w:t>
      </w:r>
    </w:p>
    <w:p>
      <w:pPr>
        <w:spacing w:after="120"/>
        <w:ind w:firstLine="397"/>
        <w:jc w:val="both"/>
      </w:pPr>
      <w:r>
        <w:rPr>
          <w:rFonts w:ascii="Arial" w:cs="Arial" w:eastAsia="Arial" w:hAnsi="Arial"/>
          <w:sz w:val="24"/>
          <w:szCs w:val="24"/>
        </w:rPr>
        <w:t xml:space="preserve">– в </w:t>
      </w:r>
      <w:hyperlink w:history="1" r:id="rIdoayhlqymaovgo8fwumx8l">
        <w:r>
          <w:rPr>
            <w:rFonts w:ascii="Arial" w:cs="Arial" w:eastAsia="Arial" w:hAnsi="Arial"/>
            <w:color w:val="1D4ED8"/>
            <w:sz w:val="24"/>
            <w:szCs w:val="24"/>
            <w:u w:val="single"/>
          </w:rPr>
          <w:t xml:space="preserve">пункте 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первый после слов «Учредители/акционеры» дополнить словами «, бенефициарные владельцы»;</w:t>
      </w:r>
    </w:p>
    <w:p>
      <w:pPr>
        <w:spacing w:after="120"/>
        <w:ind w:firstLine="397"/>
        <w:jc w:val="both"/>
      </w:pPr>
      <w:r>
        <w:rPr>
          <w:rFonts w:ascii="Arial" w:cs="Arial" w:eastAsia="Arial" w:hAnsi="Arial"/>
          <w:sz w:val="24"/>
          <w:szCs w:val="24"/>
        </w:rPr>
        <w:t xml:space="preserve">абзац восьмой изложить в следующей редакции:</w:t>
      </w:r>
    </w:p>
    <w:p>
      <w:pPr>
        <w:spacing w:after="120"/>
        <w:ind w:firstLine="397"/>
        <w:jc w:val="both"/>
      </w:pPr>
      <w:r>
        <w:rPr>
          <w:rFonts w:ascii="Arial" w:cs="Arial" w:eastAsia="Arial" w:hAnsi="Arial"/>
          <w:sz w:val="24"/>
          <w:szCs w:val="24"/>
        </w:rPr>
        <w:t xml:space="preserve">«не включены в санкционный перечень, определенный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дополнить </w:t>
      </w:r>
      <w:hyperlink w:history="1" r:id="rIdmufvfoiqak0_0atxrce1v">
        <w:r>
          <w:rPr>
            <w:rFonts w:ascii="Arial" w:cs="Arial" w:eastAsia="Arial" w:hAnsi="Arial"/>
            <w:color w:val="1D4ED8"/>
            <w:sz w:val="24"/>
            <w:szCs w:val="24"/>
            <w:u w:val="single"/>
          </w:rPr>
          <w:t xml:space="preserve">пунктом 30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 Должностные лица оператора торгов виртуальных активов подлежат обязательному согласованию с уполномоченным органом.</w:t>
      </w:r>
    </w:p>
    <w:p>
      <w:pPr>
        <w:spacing w:after="120"/>
        <w:ind w:firstLine="397"/>
        <w:jc w:val="both"/>
      </w:pPr>
      <w:r>
        <w:rPr>
          <w:rFonts w:ascii="Arial" w:cs="Arial" w:eastAsia="Arial" w:hAnsi="Arial"/>
          <w:sz w:val="24"/>
          <w:szCs w:val="24"/>
        </w:rPr>
        <w:t xml:space="preserve">Должностными лицами оператора торгов виртуальных активов, кандидатуры которых подлежат согласованию, являются:</w:t>
      </w:r>
    </w:p>
    <w:p>
      <w:pPr>
        <w:spacing w:after="120"/>
        <w:ind w:firstLine="397"/>
        <w:jc w:val="both"/>
      </w:pPr>
      <w:r>
        <w:rPr>
          <w:rFonts w:ascii="Arial" w:cs="Arial" w:eastAsia="Arial" w:hAnsi="Arial"/>
          <w:sz w:val="24"/>
          <w:szCs w:val="24"/>
        </w:rPr>
        <w:t xml:space="preserve">– руководитель и члены совета директоров (при наличии);</w:t>
      </w:r>
    </w:p>
    <w:p>
      <w:pPr>
        <w:spacing w:after="120"/>
        <w:ind w:firstLine="39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p>
    <w:p>
      <w:pPr>
        <w:spacing w:after="120"/>
        <w:ind w:firstLine="397"/>
        <w:jc w:val="both"/>
      </w:pPr>
      <w:r>
        <w:rPr>
          <w:rFonts w:ascii="Arial" w:cs="Arial" w:eastAsia="Arial" w:hAnsi="Arial"/>
          <w:sz w:val="24"/>
          <w:szCs w:val="24"/>
        </w:rPr>
        <w:t xml:space="preserve">– главный бухгалтер или единственный бухгалтер;</w:t>
      </w:r>
    </w:p>
    <w:p>
      <w:pPr>
        <w:spacing w:after="120"/>
        <w:ind w:firstLine="397"/>
        <w:jc w:val="both"/>
      </w:pPr>
      <w:r>
        <w:rPr>
          <w:rFonts w:ascii="Arial" w:cs="Arial" w:eastAsia="Arial" w:hAnsi="Arial"/>
          <w:sz w:val="24"/>
          <w:szCs w:val="24"/>
        </w:rPr>
        <w:t xml:space="preserve">– уполномоченный сотрудник или директор по рискам и комплаенсу.</w:t>
      </w:r>
    </w:p>
    <w:p>
      <w:pPr>
        <w:spacing w:after="120"/>
        <w:ind w:firstLine="397"/>
        <w:jc w:val="both"/>
      </w:pPr>
      <w:r>
        <w:rPr>
          <w:rFonts w:ascii="Arial" w:cs="Arial" w:eastAsia="Arial" w:hAnsi="Arial"/>
          <w:sz w:val="24"/>
          <w:szCs w:val="24"/>
        </w:rPr>
        <w:t xml:space="preserve">Должностное лицо оператора торгов виртуальных активов вправе занимать свою должность без согласования не более 45 (сорок пять) календарных дней со дня его назначения (избрания).</w:t>
      </w:r>
    </w:p>
    <w:p>
      <w:pPr>
        <w:spacing w:after="120"/>
        <w:ind w:firstLine="39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торгов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p>
    <w:p>
      <w:pPr>
        <w:spacing w:after="120"/>
        <w:ind w:firstLine="39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торгов виртуальных активов без согласования свыше срока, установленного настоящим пунктом.</w:t>
      </w:r>
    </w:p>
    <w:p>
      <w:pPr>
        <w:spacing w:after="120"/>
        <w:ind w:firstLine="397"/>
        <w:jc w:val="both"/>
      </w:pPr>
      <w:r>
        <w:rPr>
          <w:rFonts w:ascii="Arial" w:cs="Arial" w:eastAsia="Arial" w:hAnsi="Arial"/>
          <w:sz w:val="24"/>
          <w:szCs w:val="24"/>
        </w:rPr>
        <w:t xml:space="preserve">Для согласования должностного лица оператор торгов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397"/>
        <w:jc w:val="both"/>
      </w:pPr>
      <w:r>
        <w:rPr>
          <w:rFonts w:ascii="Arial" w:cs="Arial" w:eastAsia="Arial" w:hAnsi="Arial"/>
          <w:sz w:val="24"/>
          <w:szCs w:val="24"/>
        </w:rPr>
        <w:t xml:space="preserve">– решение об избрании/назначении кандидатуры;</w:t>
      </w:r>
    </w:p>
    <w:p>
      <w:pPr>
        <w:spacing w:after="120"/>
        <w:ind w:firstLine="397"/>
        <w:jc w:val="both"/>
      </w:pPr>
      <w:r>
        <w:rPr>
          <w:rFonts w:ascii="Arial" w:cs="Arial" w:eastAsia="Arial" w:hAnsi="Arial"/>
          <w:sz w:val="24"/>
          <w:szCs w:val="24"/>
        </w:rPr>
        <w:t xml:space="preserve">– удостоверение личности кандидата;</w:t>
      </w:r>
    </w:p>
    <w:p>
      <w:pPr>
        <w:spacing w:after="120"/>
        <w:ind w:firstLine="397"/>
        <w:jc w:val="both"/>
      </w:pPr>
      <w:r>
        <w:rPr>
          <w:rFonts w:ascii="Arial" w:cs="Arial" w:eastAsia="Arial" w:hAnsi="Arial"/>
          <w:sz w:val="24"/>
          <w:szCs w:val="24"/>
        </w:rPr>
        <w:t xml:space="preserve">– оригинал справки об отсутствии судимости;</w:t>
      </w:r>
    </w:p>
    <w:p>
      <w:pPr>
        <w:spacing w:after="120"/>
        <w:ind w:firstLine="397"/>
        <w:jc w:val="both"/>
      </w:pPr>
      <w:r>
        <w:rPr>
          <w:rFonts w:ascii="Arial" w:cs="Arial" w:eastAsia="Arial" w:hAnsi="Arial"/>
          <w:sz w:val="24"/>
          <w:szCs w:val="24"/>
        </w:rPr>
        <w:t xml:space="preserve">– оригинал анкеты кандидата по установленной форме согласно </w:t>
      </w:r>
      <w:hyperlink w:history="1" r:id="rIdfxnikrgb_pgddbgdg0h5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В случае если документы для согласования кандидатуры должностного лица имеются в системе межведомственного электронного взаимодействия «Тундук», то их представление в уполномоченный орган не требуется.</w:t>
      </w:r>
    </w:p>
    <w:p>
      <w:pPr>
        <w:spacing w:after="120"/>
        <w:ind w:firstLine="39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торгов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 момента избрания (назначения) с приложением перечисленных выше документов.</w:t>
      </w:r>
    </w:p>
    <w:p>
      <w:pPr>
        <w:spacing w:after="120"/>
        <w:ind w:firstLine="39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39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39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торгов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397"/>
        <w:jc w:val="both"/>
      </w:pPr>
      <w:r>
        <w:rPr>
          <w:rFonts w:ascii="Arial" w:cs="Arial" w:eastAsia="Arial" w:hAnsi="Arial"/>
          <w:sz w:val="24"/>
          <w:szCs w:val="24"/>
        </w:rPr>
        <w:t xml:space="preserve">В выдаче согласия на назначение (избрание) должностных лиц оператора торгов виртуальных активов отказывается по следующим основаниям:</w:t>
      </w:r>
    </w:p>
    <w:p>
      <w:pPr>
        <w:spacing w:after="120"/>
        <w:ind w:firstLine="397"/>
        <w:jc w:val="both"/>
      </w:pPr>
      <w:r>
        <w:rPr>
          <w:rFonts w:ascii="Arial" w:cs="Arial" w:eastAsia="Arial" w:hAnsi="Arial"/>
          <w:sz w:val="24"/>
          <w:szCs w:val="24"/>
        </w:rPr>
        <w:t xml:space="preserve">– несоответствие должностных лиц требованиям, установленным настоящим Положением;</w:t>
      </w:r>
    </w:p>
    <w:p>
      <w:pPr>
        <w:spacing w:after="120"/>
        <w:ind w:firstLine="397"/>
        <w:jc w:val="both"/>
      </w:pPr>
      <w:r>
        <w:rPr>
          <w:rFonts w:ascii="Arial" w:cs="Arial" w:eastAsia="Arial" w:hAnsi="Arial"/>
          <w:sz w:val="24"/>
          <w:szCs w:val="24"/>
        </w:rPr>
        <w:t xml:space="preserve">– неустранение оператором торгов виртуальных активов замечаний или представление оператором торгов виртуальных активов доработанных с учетом замечаний документов по истечении установленного настоящим пунктом срока рассмотрения документов;</w:t>
      </w:r>
    </w:p>
    <w:p>
      <w:pPr>
        <w:spacing w:after="120"/>
        <w:ind w:firstLine="39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p>
    <w:p>
      <w:pPr>
        <w:spacing w:after="120"/>
        <w:ind w:firstLine="397"/>
        <w:jc w:val="both"/>
      </w:pPr>
      <w:r>
        <w:rPr>
          <w:rFonts w:ascii="Arial" w:cs="Arial" w:eastAsia="Arial" w:hAnsi="Arial"/>
          <w:sz w:val="24"/>
          <w:szCs w:val="24"/>
        </w:rPr>
        <w:t xml:space="preserve">Выданное согласие на назначение (избрание) должностного лица оператора торгов виртуальных активов отзывается по следующим основаниям:</w:t>
      </w:r>
    </w:p>
    <w:p>
      <w:pPr>
        <w:spacing w:after="120"/>
        <w:ind w:firstLine="39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p>
    <w:p>
      <w:pPr>
        <w:spacing w:after="120"/>
        <w:ind w:firstLine="397"/>
        <w:jc w:val="both"/>
      </w:pPr>
      <w:r>
        <w:rPr>
          <w:rFonts w:ascii="Arial" w:cs="Arial" w:eastAsia="Arial" w:hAnsi="Arial"/>
          <w:sz w:val="24"/>
          <w:szCs w:val="24"/>
        </w:rPr>
        <w:t xml:space="preserve">– систематическое (3 и более раза в течение последних 12 календарных месяцев) применение уполномоченным органом мер воздействия к должностному лицу и/или оператору торгов виртуальных активов, в котором данное должностное лицо занимает (занимал в течение последних 12 календарных месяцев) соответствующую должность;</w:t>
      </w:r>
    </w:p>
    <w:p>
      <w:pPr>
        <w:spacing w:after="120"/>
        <w:ind w:firstLine="397"/>
        <w:jc w:val="both"/>
      </w:pPr>
      <w:r>
        <w:rPr>
          <w:rFonts w:ascii="Arial" w:cs="Arial" w:eastAsia="Arial" w:hAnsi="Arial"/>
          <w:sz w:val="24"/>
          <w:szCs w:val="24"/>
        </w:rPr>
        <w:t xml:space="preserve">– наличие непогашенной судимости.</w:t>
      </w:r>
    </w:p>
    <w:p>
      <w:pPr>
        <w:spacing w:after="120"/>
        <w:ind w:firstLine="397"/>
        <w:jc w:val="both"/>
      </w:pPr>
      <w:r>
        <w:rPr>
          <w:rFonts w:ascii="Arial" w:cs="Arial" w:eastAsia="Arial" w:hAnsi="Arial"/>
          <w:sz w:val="24"/>
          <w:szCs w:val="24"/>
        </w:rPr>
        <w:t xml:space="preserve">В случае отзыва согласия на назначение (избрание) должностного лица оператора торгов виртуальных активов, оператор торгов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торгов виртуальных активов должен принять меры по прекращению полномочий данного должностного лица.»;</w:t>
      </w:r>
    </w:p>
    <w:p>
      <w:pPr>
        <w:spacing w:after="120"/>
        <w:ind w:firstLine="397"/>
        <w:jc w:val="both"/>
      </w:pPr>
      <w:hyperlink w:history="1" r:id="rIdpmviy4qdc-zyhdqxizavn">
        <w:r>
          <w:rPr>
            <w:rFonts w:ascii="Arial" w:cs="Arial" w:eastAsia="Arial" w:hAnsi="Arial"/>
            <w:color w:val="1D4ED8"/>
            <w:sz w:val="24"/>
            <w:szCs w:val="24"/>
            <w:u w:val="single"/>
          </w:rPr>
          <w:t xml:space="preserve">пункт 35</w:t>
        </w:r>
      </w:hyperlink>
      <w:r>
        <w:rPr>
          <w:rFonts w:ascii="Arial" w:cs="Arial" w:eastAsia="Arial" w:hAnsi="Arial"/>
          <w:sz w:val="24"/>
          <w:szCs w:val="24"/>
        </w:rPr>
        <w:t xml:space="preserve"> дополнить абзацем следующего содержания: </w:t>
      </w:r>
    </w:p>
    <w:p>
      <w:pPr>
        <w:spacing w:after="120"/>
        <w:ind w:firstLine="39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торгов виртуальных активов.»;</w:t>
      </w:r>
    </w:p>
    <w:p>
      <w:pPr>
        <w:spacing w:after="120"/>
        <w:ind w:firstLine="397"/>
        <w:jc w:val="both"/>
      </w:pPr>
      <w:r>
        <w:rPr>
          <w:rFonts w:ascii="Arial" w:cs="Arial" w:eastAsia="Arial" w:hAnsi="Arial"/>
          <w:sz w:val="24"/>
          <w:szCs w:val="24"/>
        </w:rPr>
        <w:t xml:space="preserve">– </w:t>
      </w:r>
      <w:hyperlink w:history="1" r:id="rId5qhvrzbn2ums6nttwxjqu">
        <w:r>
          <w:rPr>
            <w:rFonts w:ascii="Arial" w:cs="Arial" w:eastAsia="Arial" w:hAnsi="Arial"/>
            <w:color w:val="1D4ED8"/>
            <w:sz w:val="24"/>
            <w:szCs w:val="24"/>
            <w:u w:val="single"/>
          </w:rPr>
          <w:t xml:space="preserve">главу 8</w:t>
        </w:r>
      </w:hyperlink>
      <w:r>
        <w:rPr>
          <w:rFonts w:ascii="Arial" w:cs="Arial" w:eastAsia="Arial" w:hAnsi="Arial"/>
          <w:sz w:val="24"/>
          <w:szCs w:val="24"/>
        </w:rPr>
        <w:t xml:space="preserve"> дополнить </w:t>
      </w:r>
      <w:hyperlink w:history="1" r:id="rIdwuq4enwukzkftgzoczbue">
        <w:r>
          <w:rPr>
            <w:rFonts w:ascii="Arial" w:cs="Arial" w:eastAsia="Arial" w:hAnsi="Arial"/>
            <w:color w:val="1D4ED8"/>
            <w:sz w:val="24"/>
            <w:szCs w:val="24"/>
            <w:u w:val="single"/>
          </w:rPr>
          <w:t xml:space="preserve">пунктом 39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«39</w:t>
      </w:r>
      <w:r>
        <w:rPr>
          <w:rFonts w:ascii="Arial" w:cs="Arial" w:eastAsia="Arial" w:hAnsi="Arial"/>
          <w:sz w:val="24"/>
          <w:szCs w:val="24"/>
        </w:rPr>
        <w:t xml:space="preserve">1</w:t>
      </w:r>
      <w:r>
        <w:rPr>
          <w:rFonts w:ascii="Arial" w:cs="Arial" w:eastAsia="Arial" w:hAnsi="Arial"/>
          <w:sz w:val="24"/>
          <w:szCs w:val="24"/>
        </w:rPr>
        <w:t xml:space="preserve">. Операторам торгов виртуальных активов (криптобиржам) запрещается:</w:t>
      </w:r>
    </w:p>
    <w:p>
      <w:pPr>
        <w:spacing w:after="120"/>
        <w:ind w:firstLine="397"/>
        <w:jc w:val="both"/>
      </w:pPr>
      <w:r>
        <w:rPr>
          <w:rFonts w:ascii="Arial" w:cs="Arial" w:eastAsia="Arial" w:hAnsi="Arial"/>
          <w:sz w:val="24"/>
          <w:szCs w:val="24"/>
        </w:rPr>
        <w:t xml:space="preserve">1)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w:t>
      </w:r>
    </w:p>
    <w:p>
      <w:pPr>
        <w:spacing w:after="120"/>
        <w:ind w:firstLine="397"/>
        <w:jc w:val="both"/>
      </w:pPr>
      <w:r>
        <w:rPr>
          <w:rFonts w:ascii="Arial" w:cs="Arial" w:eastAsia="Arial" w:hAnsi="Arial"/>
          <w:sz w:val="24"/>
          <w:szCs w:val="24"/>
        </w:rPr>
        <w:t xml:space="preserve">2) использовать в деятельности токены с уникальными характеристиками (NFT);</w:t>
      </w:r>
    </w:p>
    <w:p>
      <w:pPr>
        <w:spacing w:after="120"/>
        <w:ind w:firstLine="397"/>
        <w:jc w:val="both"/>
      </w:pPr>
      <w:r>
        <w:rPr>
          <w:rFonts w:ascii="Arial" w:cs="Arial" w:eastAsia="Arial" w:hAnsi="Arial"/>
          <w:sz w:val="24"/>
          <w:szCs w:val="24"/>
        </w:rPr>
        <w:t xml:space="preserve">3) использовать в деятельности предоплаченные карты, выпущенные зарубежными финансовыми учреждениями;</w:t>
      </w:r>
    </w:p>
    <w:p>
      <w:pPr>
        <w:spacing w:after="120"/>
        <w:ind w:firstLine="397"/>
        <w:jc w:val="both"/>
      </w:pPr>
      <w:r>
        <w:rPr>
          <w:rFonts w:ascii="Arial" w:cs="Arial" w:eastAsia="Arial" w:hAnsi="Arial"/>
          <w:sz w:val="24"/>
          <w:szCs w:val="24"/>
        </w:rPr>
        <w:t xml:space="preserve">4) осуществлять переводы виртуальных активов и проводить операции с виртуальными активами, связанные с деятельностью онлайн-казино и виртуальных казино;</w:t>
      </w:r>
    </w:p>
    <w:p>
      <w:pPr>
        <w:spacing w:after="120"/>
        <w:ind w:firstLine="397"/>
        <w:jc w:val="both"/>
      </w:pPr>
      <w:r>
        <w:rPr>
          <w:rFonts w:ascii="Arial" w:cs="Arial" w:eastAsia="Arial" w:hAnsi="Arial"/>
          <w:sz w:val="24"/>
          <w:szCs w:val="24"/>
        </w:rPr>
        <w:t xml:space="preserve">5) осуществлять операции с виртуальными активами, кошельками виртуальных активов, имеющими высокий уровень рисков, выявленных в результате процентного скоринга.</w:t>
      </w:r>
    </w:p>
    <w:p>
      <w:pPr>
        <w:spacing w:after="120"/>
        <w:ind w:firstLine="39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операторам торгов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p>
    <w:p>
      <w:pPr>
        <w:spacing w:after="120"/>
        <w:ind w:firstLine="397"/>
        <w:jc w:val="both"/>
      </w:pPr>
      <w:r>
        <w:rPr>
          <w:rFonts w:ascii="Arial" w:cs="Arial" w:eastAsia="Arial" w:hAnsi="Arial"/>
          <w:sz w:val="24"/>
          <w:szCs w:val="24"/>
        </w:rPr>
        <w:t xml:space="preserve">– </w:t>
      </w:r>
      <w:hyperlink w:history="1" r:id="rId3pv1d3cwdd4kg0jjtlrxw">
        <w:r>
          <w:rPr>
            <w:rFonts w:ascii="Arial" w:cs="Arial" w:eastAsia="Arial" w:hAnsi="Arial"/>
            <w:color w:val="1D4ED8"/>
            <w:sz w:val="24"/>
            <w:szCs w:val="24"/>
            <w:u w:val="single"/>
          </w:rPr>
          <w:t xml:space="preserve">пункт 51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«51. Для получения лицензии на ведение деятельности в качестве поставщика услуг виртуальных активов, осуществляемой оператором торгов виртуальных активов (криптобиржей), юридическое лицо представляет в уполномоченный орган следующие документы/сведения в одном экземпляре на государственном или официальном языках:</w:t>
      </w:r>
    </w:p>
    <w:p>
      <w:pPr>
        <w:spacing w:after="120"/>
        <w:ind w:firstLine="397"/>
        <w:jc w:val="both"/>
      </w:pPr>
      <w:r>
        <w:rPr>
          <w:rFonts w:ascii="Arial" w:cs="Arial" w:eastAsia="Arial" w:hAnsi="Arial"/>
          <w:sz w:val="24"/>
          <w:szCs w:val="24"/>
        </w:rPr>
        <w:t xml:space="preserve">1) заявление о выдаче лицензии, составленное по форме согласно </w:t>
      </w:r>
      <w:hyperlink w:history="1" r:id="rIdmnzdddalqfcnqmea8nyt3">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с печатью и подписью руководителя юридического лица;</w:t>
      </w:r>
    </w:p>
    <w:p>
      <w:pPr>
        <w:spacing w:after="120"/>
        <w:ind w:firstLine="39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p>
    <w:p>
      <w:pPr>
        <w:spacing w:after="120"/>
        <w:ind w:firstLine="397"/>
        <w:jc w:val="both"/>
      </w:pPr>
      <w:r>
        <w:rPr>
          <w:rFonts w:ascii="Arial" w:cs="Arial" w:eastAsia="Arial" w:hAnsi="Arial"/>
          <w:sz w:val="24"/>
          <w:szCs w:val="24"/>
        </w:rPr>
        <w:t xml:space="preserve">3) документы/сведения по 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 в капитале юридического лица, содержащая идентификационные данные таких лиц, количество и процент акций в капитале, которыми обладает каждый такой акционер;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p>
    <w:p>
      <w:pPr>
        <w:spacing w:after="120"/>
        <w:ind w:firstLine="39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 профессионального опыта, включая, в частности, названия всех организаций, в которых он/она работал, характер и продолжительность занимаемых должностей, деловой репутации);</w:t>
      </w:r>
    </w:p>
    <w:p>
      <w:pPr>
        <w:spacing w:after="120"/>
        <w:ind w:firstLine="397"/>
        <w:jc w:val="both"/>
      </w:pPr>
      <w:r>
        <w:rPr>
          <w:rFonts w:ascii="Arial" w:cs="Arial" w:eastAsia="Arial" w:hAnsi="Arial"/>
          <w:sz w:val="24"/>
          <w:szCs w:val="24"/>
        </w:rPr>
        <w:t xml:space="preserve">5) заполненные и подписанные акционерами/учредителями, должностными лицами и бенефициарными владельцами юридического лица анкеты по форме согласно приложениям </w:t>
      </w:r>
      <w:hyperlink w:history="1" r:id="rIdszq4gkpc7nwejra-0n31j">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igzd8ey0fzaxb5z4xtr_w">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Положению либо сканированные копии заполненных анкет с последующим предоставлением оригинала;</w:t>
      </w:r>
    </w:p>
    <w:p>
      <w:pPr>
        <w:spacing w:after="120"/>
        <w:ind w:firstLine="39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взаимных расчетов участников оператора торгов виртуальных активов (криптобиржи) при заключении сделок;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листинга виртуальных активов, включающие процедуры листинга иностранных виртуальных активов, выпущенных и обращающихся у иностранных операторов торгов виртуальных активов (криптобирж);</w:t>
      </w:r>
    </w:p>
    <w:p>
      <w:pPr>
        <w:spacing w:after="120"/>
        <w:ind w:firstLine="397"/>
        <w:jc w:val="both"/>
      </w:pPr>
      <w:r>
        <w:rPr>
          <w:rFonts w:ascii="Arial" w:cs="Arial" w:eastAsia="Arial" w:hAnsi="Arial"/>
          <w:sz w:val="24"/>
          <w:szCs w:val="24"/>
        </w:rPr>
        <w:t xml:space="preserve">7) программу/план операционных действий; </w:t>
      </w:r>
    </w:p>
    <w:p>
      <w:pPr>
        <w:spacing w:after="120"/>
        <w:ind w:firstLine="397"/>
        <w:jc w:val="both"/>
      </w:pPr>
      <w:r>
        <w:rPr>
          <w:rFonts w:ascii="Arial" w:cs="Arial" w:eastAsia="Arial" w:hAnsi="Arial"/>
          <w:sz w:val="24"/>
          <w:szCs w:val="24"/>
        </w:rPr>
        <w:t xml:space="preserve">8) бизнес-план (технико-экономическое обоснование), содержащий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 </w:t>
      </w:r>
    </w:p>
    <w:p>
      <w:pPr>
        <w:spacing w:after="120"/>
        <w:ind w:firstLine="397"/>
        <w:jc w:val="both"/>
      </w:pPr>
      <w:r>
        <w:rPr>
          <w:rFonts w:ascii="Arial" w:cs="Arial" w:eastAsia="Arial" w:hAnsi="Arial"/>
          <w:sz w:val="24"/>
          <w:szCs w:val="24"/>
        </w:rPr>
        <w:t xml:space="preserve">9)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 </w:t>
      </w:r>
    </w:p>
    <w:p>
      <w:pPr>
        <w:spacing w:after="120"/>
        <w:ind w:firstLine="397"/>
        <w:jc w:val="both"/>
      </w:pPr>
      <w:r>
        <w:rPr>
          <w:rFonts w:ascii="Arial" w:cs="Arial" w:eastAsia="Arial" w:hAnsi="Arial"/>
          <w:sz w:val="24"/>
          <w:szCs w:val="24"/>
        </w:rPr>
        <w:t xml:space="preserve">10) политику и план обеспечения непрерывности деятельности; </w:t>
      </w:r>
    </w:p>
    <w:p>
      <w:pPr>
        <w:spacing w:after="120"/>
        <w:ind w:firstLine="397"/>
        <w:jc w:val="both"/>
      </w:pPr>
      <w:r>
        <w:rPr>
          <w:rFonts w:ascii="Arial" w:cs="Arial" w:eastAsia="Arial" w:hAnsi="Arial"/>
          <w:sz w:val="24"/>
          <w:szCs w:val="24"/>
        </w:rPr>
        <w:t xml:space="preserve">11) копию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 </w:t>
      </w:r>
    </w:p>
    <w:p>
      <w:pPr>
        <w:spacing w:after="120"/>
        <w:ind w:firstLine="397"/>
        <w:jc w:val="both"/>
      </w:pPr>
      <w:r>
        <w:rPr>
          <w:rFonts w:ascii="Arial" w:cs="Arial" w:eastAsia="Arial" w:hAnsi="Arial"/>
          <w:sz w:val="24"/>
          <w:szCs w:val="24"/>
        </w:rPr>
        <w:t xml:space="preserve">12) документ, подтверждающий внесение денежных средств в качестве уставного капитала согласно настоящему Положению; </w:t>
      </w:r>
    </w:p>
    <w:p>
      <w:pPr>
        <w:spacing w:after="120"/>
        <w:ind w:firstLine="397"/>
        <w:jc w:val="both"/>
      </w:pPr>
      <w:r>
        <w:rPr>
          <w:rFonts w:ascii="Arial" w:cs="Arial" w:eastAsia="Arial" w:hAnsi="Arial"/>
          <w:sz w:val="24"/>
          <w:szCs w:val="24"/>
        </w:rPr>
        <w:t xml:space="preserve">13) финансовую отчетность на последнюю отчетную дату, переданную в налоговые органы, заверенную печатью и подписью руководителя юридического лица);</w:t>
      </w:r>
    </w:p>
    <w:p>
      <w:pPr>
        <w:spacing w:after="120"/>
        <w:ind w:firstLine="397"/>
        <w:jc w:val="both"/>
      </w:pPr>
      <w:r>
        <w:rPr>
          <w:rFonts w:ascii="Arial" w:cs="Arial" w:eastAsia="Arial" w:hAnsi="Arial"/>
          <w:sz w:val="24"/>
          <w:szCs w:val="24"/>
        </w:rPr>
        <w:t xml:space="preserve">14)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p>
    <w:p>
      <w:pPr>
        <w:spacing w:after="120"/>
        <w:ind w:firstLine="397"/>
        <w:jc w:val="both"/>
      </w:pPr>
      <w:r>
        <w:rPr>
          <w:rFonts w:ascii="Arial" w:cs="Arial" w:eastAsia="Arial" w:hAnsi="Arial"/>
          <w:sz w:val="24"/>
          <w:szCs w:val="24"/>
        </w:rPr>
        <w:t xml:space="preserve">15) документы/сведения по системе противодействия финансированию преступной деятельности и легализации (отмыванию) преступных доходов юридического лица (руководство по противодействию финансированию преступной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преступной деятельности и легализации (отмыванию) преступных доходов; процедуры мониторинга клиентов и транзакций в рамках противодействия финансированию преступной деятельности и легализации (отмыванию) преступных доходов; руководство по обучению в области противодействия финансированию преступной деятельности и легализации (отмывания); соглашения с поставщиками услуг в области противодействия финансированию преступной деятельности и легализации (отмывания) преступных доходов; матрица рисков финансирования преступной деятельности и легализации (отмывания) преступных доходов; функциональные возможности инструментов для оценки рисков, связанных с финансированием преступной деятельности и легализацией (отмыванием) преступных доходов; сценарии противодействия финансированию преступной деятельности и легализации (отмыванию) преступных доходов, реализованные в инструментах; объем предупреждений о противодействии финансированию преступной деятельности и легализации (отмыванию) преступных доходов и количество клиентов, классифицированных по уровню рисков);</w:t>
      </w:r>
    </w:p>
    <w:p>
      <w:pPr>
        <w:spacing w:after="120"/>
        <w:ind w:firstLine="397"/>
        <w:jc w:val="both"/>
      </w:pPr>
      <w:r>
        <w:rPr>
          <w:rFonts w:ascii="Arial" w:cs="Arial" w:eastAsia="Arial" w:hAnsi="Arial"/>
          <w:sz w:val="24"/>
          <w:szCs w:val="24"/>
        </w:rPr>
        <w:t xml:space="preserve">16)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p>
    <w:p>
      <w:pPr>
        <w:spacing w:after="120"/>
        <w:ind w:firstLine="397"/>
        <w:jc w:val="both"/>
      </w:pPr>
      <w:r>
        <w:rPr>
          <w:rFonts w:ascii="Arial" w:cs="Arial" w:eastAsia="Arial" w:hAnsi="Arial"/>
          <w:sz w:val="24"/>
          <w:szCs w:val="24"/>
        </w:rPr>
        <w:t xml:space="preserve">17) сведения/документы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p>
    <w:p>
      <w:pPr>
        <w:spacing w:after="120"/>
        <w:ind w:firstLine="397"/>
        <w:jc w:val="both"/>
      </w:pPr>
      <w:r>
        <w:rPr>
          <w:rFonts w:ascii="Arial" w:cs="Arial" w:eastAsia="Arial" w:hAnsi="Arial"/>
          <w:sz w:val="24"/>
          <w:szCs w:val="24"/>
        </w:rPr>
        <w:t xml:space="preserve">18)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если от имени юридического лица действует представитель по доверенности;</w:t>
      </w:r>
    </w:p>
    <w:p>
      <w:pPr>
        <w:spacing w:after="120"/>
        <w:ind w:firstLine="397"/>
        <w:jc w:val="both"/>
      </w:pPr>
      <w:r>
        <w:rPr>
          <w:rFonts w:ascii="Arial" w:cs="Arial" w:eastAsia="Arial" w:hAnsi="Arial"/>
          <w:sz w:val="24"/>
          <w:szCs w:val="24"/>
        </w:rPr>
        <w:t xml:space="preserve">19) данные о деловой репутации юридического лица;</w:t>
      </w:r>
    </w:p>
    <w:p>
      <w:pPr>
        <w:spacing w:after="120"/>
        <w:ind w:firstLine="397"/>
        <w:jc w:val="both"/>
      </w:pPr>
      <w:r>
        <w:rPr>
          <w:rFonts w:ascii="Arial" w:cs="Arial" w:eastAsia="Arial" w:hAnsi="Arial"/>
          <w:sz w:val="24"/>
          <w:szCs w:val="24"/>
        </w:rPr>
        <w:t xml:space="preserve">20) документ, подтверждающий оплату государственной пошлины за лицензию;</w:t>
      </w:r>
    </w:p>
    <w:p>
      <w:pPr>
        <w:spacing w:after="120"/>
        <w:ind w:firstLine="397"/>
        <w:jc w:val="both"/>
      </w:pPr>
      <w:r>
        <w:rPr>
          <w:rFonts w:ascii="Arial" w:cs="Arial" w:eastAsia="Arial" w:hAnsi="Arial"/>
          <w:sz w:val="24"/>
          <w:szCs w:val="24"/>
        </w:rPr>
        <w:t xml:space="preserve">21) копию заключенного договора с поставщиком AML/KYT-услуг, определенным уполномоченным органом.»;</w:t>
      </w:r>
    </w:p>
    <w:p>
      <w:pPr>
        <w:spacing w:after="120"/>
        <w:ind w:firstLine="397"/>
        <w:jc w:val="both"/>
      </w:pPr>
      <w:r>
        <w:rPr>
          <w:rFonts w:ascii="Arial" w:cs="Arial" w:eastAsia="Arial" w:hAnsi="Arial"/>
          <w:sz w:val="24"/>
          <w:szCs w:val="24"/>
        </w:rPr>
        <w:t xml:space="preserve">– </w:t>
      </w:r>
      <w:hyperlink w:history="1" r:id="rIdaqd06za2ismz_wabngy-n">
        <w:r>
          <w:rPr>
            <w:rFonts w:ascii="Arial" w:cs="Arial" w:eastAsia="Arial" w:hAnsi="Arial"/>
            <w:color w:val="1D4ED8"/>
            <w:sz w:val="24"/>
            <w:szCs w:val="24"/>
            <w:u w:val="single"/>
          </w:rPr>
          <w:t xml:space="preserve">главу 16</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 абзац первый </w:t>
      </w:r>
      <w:hyperlink w:history="1" r:id="rId2xr-il8ehw8lbmvnijy4w">
        <w:r>
          <w:rPr>
            <w:rFonts w:ascii="Arial" w:cs="Arial" w:eastAsia="Arial" w:hAnsi="Arial"/>
            <w:color w:val="1D4ED8"/>
            <w:sz w:val="24"/>
            <w:szCs w:val="24"/>
            <w:u w:val="single"/>
          </w:rPr>
          <w:t xml:space="preserve">пункта 90</w:t>
        </w:r>
      </w:hyperlink>
      <w:r>
        <w:rPr>
          <w:rFonts w:ascii="Arial" w:cs="Arial" w:eastAsia="Arial" w:hAnsi="Arial"/>
          <w:sz w:val="24"/>
          <w:szCs w:val="24"/>
        </w:rPr>
        <w:t xml:space="preserve"> после слова «ежеквартально» дополнить словами «, не позднее 10 рабочих дней после даты окончания отчетного квартала»;</w:t>
      </w:r>
    </w:p>
    <w:p>
      <w:pPr>
        <w:spacing w:after="120"/>
        <w:ind w:firstLine="397"/>
        <w:jc w:val="both"/>
      </w:pPr>
      <w:r>
        <w:rPr>
          <w:rFonts w:ascii="Arial" w:cs="Arial" w:eastAsia="Arial" w:hAnsi="Arial"/>
          <w:sz w:val="24"/>
          <w:szCs w:val="24"/>
        </w:rPr>
        <w:t xml:space="preserve">– дополнить </w:t>
      </w:r>
      <w:hyperlink w:history="1" r:id="rIdjqdxtvs90iuwfdlgtwqro">
        <w:r>
          <w:rPr>
            <w:rFonts w:ascii="Arial" w:cs="Arial" w:eastAsia="Arial" w:hAnsi="Arial"/>
            <w:color w:val="1D4ED8"/>
            <w:sz w:val="24"/>
            <w:szCs w:val="24"/>
            <w:u w:val="single"/>
          </w:rPr>
          <w:t xml:space="preserve">пунктом 90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«90</w:t>
      </w:r>
      <w:r>
        <w:rPr>
          <w:rFonts w:ascii="Arial" w:cs="Arial" w:eastAsia="Arial" w:hAnsi="Arial"/>
          <w:sz w:val="24"/>
          <w:szCs w:val="24"/>
        </w:rPr>
        <w:t xml:space="preserve">1</w:t>
      </w:r>
      <w:r>
        <w:rPr>
          <w:rFonts w:ascii="Arial" w:cs="Arial" w:eastAsia="Arial" w:hAnsi="Arial"/>
          <w:sz w:val="24"/>
          <w:szCs w:val="24"/>
        </w:rPr>
        <w:t xml:space="preserve">. Деятельность оператора торгов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397"/>
        <w:jc w:val="both"/>
      </w:pPr>
      <w:r>
        <w:rPr>
          <w:rFonts w:ascii="Arial" w:cs="Arial" w:eastAsia="Arial" w:hAnsi="Arial"/>
          <w:sz w:val="24"/>
          <w:szCs w:val="24"/>
        </w:rPr>
        <w:t xml:space="preserve">Внешним аудитором оператора торгов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397"/>
        <w:jc w:val="both"/>
      </w:pPr>
      <w:r>
        <w:rPr>
          <w:rFonts w:ascii="Arial" w:cs="Arial" w:eastAsia="Arial" w:hAnsi="Arial"/>
          <w:sz w:val="24"/>
          <w:szCs w:val="24"/>
        </w:rPr>
        <w:t xml:space="preserve">По завершении финансового года оператор торгов виртуальных активов обязан:</w:t>
      </w:r>
    </w:p>
    <w:p>
      <w:pPr>
        <w:spacing w:after="120"/>
        <w:ind w:firstLine="397"/>
        <w:jc w:val="both"/>
      </w:pPr>
      <w:r>
        <w:rPr>
          <w:rFonts w:ascii="Arial" w:cs="Arial" w:eastAsia="Arial" w:hAnsi="Arial"/>
          <w:sz w:val="24"/>
          <w:szCs w:val="24"/>
        </w:rPr>
        <w:t xml:space="preserve">– обеспечить проведение внешнего аудита оператора торгов виртуальных активов в срок до 90 (девяносто) дней с начала нового финансового года;</w:t>
      </w:r>
    </w:p>
    <w:p>
      <w:pPr>
        <w:spacing w:after="120"/>
        <w:ind w:firstLine="39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торгов виртуальных активов в срок не позднее 105 (сто пять) дней с начала нового финансового года.»;</w:t>
      </w:r>
    </w:p>
    <w:p>
      <w:pPr>
        <w:spacing w:after="120"/>
        <w:ind w:firstLine="397"/>
        <w:jc w:val="both"/>
      </w:pPr>
      <w:r>
        <w:rPr>
          <w:rFonts w:ascii="Arial" w:cs="Arial" w:eastAsia="Arial" w:hAnsi="Arial"/>
          <w:sz w:val="24"/>
          <w:szCs w:val="24"/>
        </w:rPr>
        <w:t xml:space="preserve">– наименование </w:t>
      </w:r>
      <w:hyperlink w:history="1" r:id="rIdpvxhuklmb8blwzhcxubxv">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вышеуказанному </w:t>
      </w:r>
      <w:hyperlink w:history="1" r:id="rIdysyncu_anvafhk8rr1sv-">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изложить в следующей редакции: «Анкета акционера/учредителя, бенефициарного владельца и должностного лица оператора торгов виртуальных активов (криптобиржи)»;</w:t>
      </w:r>
    </w:p>
    <w:p>
      <w:pPr>
        <w:spacing w:after="120"/>
        <w:ind w:firstLine="397"/>
        <w:jc w:val="both"/>
      </w:pPr>
      <w:r>
        <w:rPr>
          <w:rFonts w:ascii="Arial" w:cs="Arial" w:eastAsia="Arial" w:hAnsi="Arial"/>
          <w:sz w:val="24"/>
          <w:szCs w:val="24"/>
        </w:rPr>
        <w:t xml:space="preserve">– наименование </w:t>
      </w:r>
      <w:hyperlink w:history="1" r:id="rIdlsls36cjh6slokyrwa3qt">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вышеуказанному </w:t>
      </w:r>
      <w:hyperlink w:history="1" r:id="rIdbdbdwimdxuj6zwnfi9zs3">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изложить в следующей редакции: «Анкета акционера/учредителя, бенефициарного владельца оператора торгов виртуальных активов (криптобиржи)»;</w:t>
      </w:r>
    </w:p>
    <w:p>
      <w:pPr>
        <w:spacing w:after="120"/>
        <w:ind w:firstLine="397"/>
        <w:jc w:val="both"/>
      </w:pPr>
      <w:r>
        <w:rPr>
          <w:rFonts w:ascii="Arial" w:cs="Arial" w:eastAsia="Arial" w:hAnsi="Arial"/>
          <w:sz w:val="24"/>
          <w:szCs w:val="24"/>
        </w:rPr>
        <w:t xml:space="preserve">– приложения 5–9 к вышеуказанному </w:t>
      </w:r>
      <w:hyperlink w:history="1" r:id="rIdoo0pdwnuhp_eas0mwjbzb">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признать утратившими силу;</w:t>
      </w:r>
    </w:p>
    <w:p>
      <w:pPr>
        <w:spacing w:after="120"/>
        <w:ind w:firstLine="397"/>
        <w:jc w:val="both"/>
      </w:pPr>
      <w:r>
        <w:rPr>
          <w:rFonts w:ascii="Arial" w:cs="Arial" w:eastAsia="Arial" w:hAnsi="Arial"/>
          <w:sz w:val="24"/>
          <w:szCs w:val="24"/>
        </w:rPr>
        <w:t xml:space="preserve">2) в </w:t>
      </w:r>
      <w:hyperlink w:history="1" r:id="rIdtxvg7cx0cpyp6nh7zbbp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 утвержденном вышеуказанным </w:t>
      </w:r>
      <w:hyperlink w:history="1" r:id="rIdkbviljos-akx7gzwwbz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w:t>
      </w:r>
      <w:hyperlink w:history="1" r:id="rIdbmpkgdh1wqepluzc8hbxs">
        <w:r>
          <w:rPr>
            <w:rFonts w:ascii="Arial" w:cs="Arial" w:eastAsia="Arial" w:hAnsi="Arial"/>
            <w:color w:val="1D4ED8"/>
            <w:sz w:val="24"/>
            <w:szCs w:val="24"/>
            <w:u w:val="single"/>
          </w:rPr>
          <w:t xml:space="preserve">пункте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абзацы третий, четвертый, пятый изложить в следующей редакции:</w:t>
      </w:r>
    </w:p>
    <w:p>
      <w:pPr>
        <w:spacing w:after="120"/>
        <w:ind w:firstLine="397"/>
        <w:jc w:val="both"/>
      </w:pPr>
      <w:r>
        <w:rPr>
          <w:rFonts w:ascii="Arial" w:cs="Arial" w:eastAsia="Arial" w:hAnsi="Arial"/>
          <w:sz w:val="24"/>
          <w:szCs w:val="24"/>
        </w:rPr>
        <w:t xml:space="preserve">«государственная регистрация эмиссии и публичного размещения виртуальных активов – присвоение выпуску виртуальных активов государственного регистрационного номера, сопровождающееся государственной регистрацией белой бумаги (white paper) выпуска виртуальных активов, а также внесение сведений об этом, в том числе о виртуальных активах, их эмитенте, в Единый государственный реестр эмиссий виртуальных активов;</w:t>
      </w:r>
    </w:p>
    <w:p>
      <w:pPr>
        <w:spacing w:after="120"/>
        <w:ind w:firstLine="397"/>
        <w:jc w:val="both"/>
      </w:pPr>
      <w:r>
        <w:rPr>
          <w:rFonts w:ascii="Arial" w:cs="Arial" w:eastAsia="Arial" w:hAnsi="Arial"/>
          <w:sz w:val="24"/>
          <w:szCs w:val="24"/>
        </w:rPr>
        <w:t xml:space="preserve">номинальная стоимость виртуального актива – стоимость (цена) виртуального актива, выраженная в национальной или иностранной валюте по решению эмитента виртуальных активов, по которой виртуальный актив заявлен к размещению;</w:t>
      </w:r>
    </w:p>
    <w:p>
      <w:pPr>
        <w:spacing w:after="120"/>
        <w:ind w:firstLine="397"/>
        <w:jc w:val="both"/>
      </w:pPr>
      <w:r>
        <w:rPr>
          <w:rFonts w:ascii="Arial" w:cs="Arial" w:eastAsia="Arial" w:hAnsi="Arial"/>
          <w:sz w:val="24"/>
          <w:szCs w:val="24"/>
        </w:rPr>
        <w:t xml:space="preserve">залоговая стоимость – стоимость актива, используемого в качестве залога;»;</w:t>
      </w:r>
    </w:p>
    <w:p>
      <w:pPr>
        <w:spacing w:after="120"/>
        <w:ind w:firstLine="397"/>
        <w:jc w:val="both"/>
      </w:pPr>
      <w:r>
        <w:rPr>
          <w:rFonts w:ascii="Arial" w:cs="Arial" w:eastAsia="Arial" w:hAnsi="Arial"/>
          <w:sz w:val="24"/>
          <w:szCs w:val="24"/>
        </w:rPr>
        <w:t xml:space="preserve">абзац девятый признать утратившим силу;</w:t>
      </w:r>
    </w:p>
    <w:p>
      <w:pPr>
        <w:spacing w:after="120"/>
        <w:ind w:firstLine="397"/>
        <w:jc w:val="both"/>
      </w:pPr>
      <w:r>
        <w:rPr>
          <w:rFonts w:ascii="Arial" w:cs="Arial" w:eastAsia="Arial" w:hAnsi="Arial"/>
          <w:sz w:val="24"/>
          <w:szCs w:val="24"/>
        </w:rPr>
        <w:t xml:space="preserve">– </w:t>
      </w:r>
      <w:hyperlink w:history="1" r:id="rId5iv-b-cgh_-b-nqgpdkrg">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Государственная регистрация эмиссии и публичного размещения виртуальных активов, а также ведение Единого государственного реестра эмиссий виртуальных активов осуществляются уполномоченным государственным органом Кыргызской Республики.»;</w:t>
      </w:r>
    </w:p>
    <w:p>
      <w:pPr>
        <w:spacing w:after="120"/>
        <w:ind w:firstLine="397"/>
        <w:jc w:val="both"/>
      </w:pPr>
      <w:r>
        <w:rPr>
          <w:rFonts w:ascii="Arial" w:cs="Arial" w:eastAsia="Arial" w:hAnsi="Arial"/>
          <w:sz w:val="24"/>
          <w:szCs w:val="24"/>
        </w:rPr>
        <w:t xml:space="preserve">– </w:t>
      </w:r>
      <w:hyperlink w:history="1" r:id="rIdbhp4fd7rvfwrpyrwiqdxq">
        <w:r>
          <w:rPr>
            <w:rFonts w:ascii="Arial" w:cs="Arial" w:eastAsia="Arial" w:hAnsi="Arial"/>
            <w:color w:val="1D4ED8"/>
            <w:sz w:val="24"/>
            <w:szCs w:val="24"/>
            <w:u w:val="single"/>
          </w:rPr>
          <w:t xml:space="preserve">главу 1</w:t>
        </w:r>
      </w:hyperlink>
      <w:r>
        <w:rPr>
          <w:rFonts w:ascii="Arial" w:cs="Arial" w:eastAsia="Arial" w:hAnsi="Arial"/>
          <w:sz w:val="24"/>
          <w:szCs w:val="24"/>
        </w:rPr>
        <w:t xml:space="preserve"> дополнить пунктами </w:t>
      </w:r>
      <w:hyperlink w:history="1" r:id="rIdbleeitzmc4jwouefytwqk">
        <w:r>
          <w:rPr>
            <w:rFonts w:ascii="Arial" w:cs="Arial" w:eastAsia="Arial" w:hAnsi="Arial"/>
            <w:color w:val="1D4ED8"/>
            <w:sz w:val="24"/>
            <w:szCs w:val="24"/>
            <w:u w:val="single"/>
          </w:rPr>
          <w:t xml:space="preserve">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ikx41bib0u83xy3f7kam_">
        <w:r>
          <w:rPr>
            <w:rFonts w:ascii="Arial" w:cs="Arial" w:eastAsia="Arial" w:hAnsi="Arial"/>
            <w:color w:val="1D4ED8"/>
            <w:sz w:val="24"/>
            <w:szCs w:val="24"/>
            <w:u w:val="single"/>
          </w:rPr>
          <w:t xml:space="preserve">3</w:t>
        </w:r>
        <w:r>
          <w:rPr>
            <w:rFonts w:ascii="Arial" w:cs="Arial" w:eastAsia="Arial" w:hAnsi="Arial"/>
            <w:color w:val="1D4ED8"/>
            <w:sz w:val="24"/>
            <w:szCs w:val="24"/>
            <w:u w:val="single"/>
          </w:rPr>
          <w:t xml:space="preserve">11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На территории Кыргызской Республики запрещается выпуск не обеспеченных виртуальных активов.</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При выпуске виртуальных активов их эмитент вправе назначить управляющего залогом в интересах лиц, зарегистрированных в качестве владельцев в реестре держателей виртуальных активов. Управляющий залогом не может быть аффилированным лицом по отношению к эмитенту виртуальных активов и по отношению к любому кредитору эмитента, размер обязательств эмитента перед которым превышает 10 процентов от балансовой стоимости его активов.</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В случае если обеспечение и/или залог по виртуальным активам предоставлены третьим лицом, решение о выпуске и размещении виртуальных активов и белая бумага (white paper) должны быть подписаны также лицом, предоставившим такое обеспечение и/или залог.</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Предметом залога виртуальных активов могут быть активы эмитента виртуальных активов, указанные в пункте 3</w:t>
      </w:r>
      <w:r>
        <w:rPr>
          <w:rFonts w:ascii="Arial" w:cs="Arial" w:eastAsia="Arial" w:hAnsi="Arial"/>
          <w:sz w:val="24"/>
          <w:szCs w:val="24"/>
        </w:rPr>
        <w:t xml:space="preserve">5</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5</w:t>
      </w:r>
      <w:r>
        <w:rPr>
          <w:rFonts w:ascii="Arial" w:cs="Arial" w:eastAsia="Arial" w:hAnsi="Arial"/>
          <w:sz w:val="24"/>
          <w:szCs w:val="24"/>
        </w:rPr>
        <w:t xml:space="preserve">. Структура и состав предмета залога по виртуальным активам:</w:t>
      </w:r>
    </w:p>
    <w:p>
      <w:pPr>
        <w:spacing w:after="120"/>
        <w:ind w:firstLine="397"/>
        <w:jc w:val="both"/>
      </w:pPr>
      <w:r>
        <w:rPr>
          <w:rFonts w:ascii="Arial" w:cs="Arial" w:eastAsia="Arial" w:hAnsi="Arial"/>
          <w:sz w:val="24"/>
          <w:szCs w:val="24"/>
        </w:rPr>
        <w:t xml:space="preserve">1) виртуальные активы могут быть обеспечены залогом государственных ценных бумаг – не менее 100 процентов от объема эмиссии виртуальных активов, при этом в целях обеспечения залогом эмиссии виртуальных активов залоговая стоимость таких ценных бумаг принимается не более 100 процентов от оценочной стоимости этих ценных бумаг;</w:t>
      </w:r>
    </w:p>
    <w:p>
      <w:pPr>
        <w:spacing w:after="120"/>
        <w:ind w:firstLine="397"/>
        <w:jc w:val="both"/>
      </w:pPr>
      <w:r>
        <w:rPr>
          <w:rFonts w:ascii="Arial" w:cs="Arial" w:eastAsia="Arial" w:hAnsi="Arial"/>
          <w:sz w:val="24"/>
          <w:szCs w:val="24"/>
        </w:rPr>
        <w:t xml:space="preserve">2) виртуальные активы могут быть обеспечены залогом ценных бумаг эмитентов Кыргызской Республики, созданных в форме открытых акционерных обществ, прошедших листинг у лицензированного организатора торгов по наивысшей и следующей за наивысшей категориям – не менее 100 процентов от объема эмиссии виртуальных активов, при этом в целях обеспечения залогом эмиссии виртуальных активов залоговая стоимость таких ценных бумаг принимается не более 80 процентов от оценочной стоимости ценных бумаг;</w:t>
      </w:r>
    </w:p>
    <w:p>
      <w:pPr>
        <w:spacing w:after="120"/>
        <w:ind w:firstLine="397"/>
        <w:jc w:val="both"/>
      </w:pPr>
      <w:r>
        <w:rPr>
          <w:rFonts w:ascii="Arial" w:cs="Arial" w:eastAsia="Arial" w:hAnsi="Arial"/>
          <w:sz w:val="24"/>
          <w:szCs w:val="24"/>
        </w:rPr>
        <w:t xml:space="preserve">3) виртуальные активы могут быть обеспечены залогом права на разработку полезных ископаемых, принадлежащего юридическому лицу – не менее 100 процентов от объема эмиссии виртуальных активов, при этом залоговая стоимость такого права принимается не более 50 процентов от оценочной стоимости права на разработку полезных ископаемых согласно независимой оценочной стоимости;</w:t>
      </w:r>
    </w:p>
    <w:p>
      <w:pPr>
        <w:spacing w:after="120"/>
        <w:ind w:firstLine="397"/>
        <w:jc w:val="both"/>
      </w:pPr>
      <w:r>
        <w:rPr>
          <w:rFonts w:ascii="Arial" w:cs="Arial" w:eastAsia="Arial" w:hAnsi="Arial"/>
          <w:sz w:val="24"/>
          <w:szCs w:val="24"/>
        </w:rPr>
        <w:t xml:space="preserve">4) виртуальные активы могут быть обеспечены залогом денежных средств в национальной и иностранной валютах – не менее 100 процентов, при этом залоговая стоимость денежных средств в национальной и иностранной валютах принимается в размере  100 процентов от их номинальной стоимости;</w:t>
      </w:r>
    </w:p>
    <w:p>
      <w:pPr>
        <w:spacing w:after="120"/>
        <w:ind w:firstLine="397"/>
        <w:jc w:val="both"/>
      </w:pPr>
      <w:r>
        <w:rPr>
          <w:rFonts w:ascii="Arial" w:cs="Arial" w:eastAsia="Arial" w:hAnsi="Arial"/>
          <w:sz w:val="24"/>
          <w:szCs w:val="24"/>
        </w:rPr>
        <w:t xml:space="preserve">5) виртуальные активы могут быть обеспечены залогом золота – не менее 30 процентов, при этом залоговая стоимость золота принимается в размере 100 процентов от оценочной стоимости золота согласно независимой оценочной стоимости.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6</w:t>
      </w:r>
      <w:r>
        <w:rPr>
          <w:rFonts w:ascii="Arial" w:cs="Arial" w:eastAsia="Arial" w:hAnsi="Arial"/>
          <w:sz w:val="24"/>
          <w:szCs w:val="24"/>
        </w:rPr>
        <w:t xml:space="preserve">. Имущество, являющееся предметом обеспечения и/или залога по виртуальным активам, подлежит оценке независимым оценщиком не позднее чем за один месяц до подачи документов в уполномоченный государственный орган для регистрации эмиссии и публичного размещения виртуальных активов. Оценка залоговой стоимости считается актуальной в течение шести месяцев. </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7</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выступает недвижимое имущество, подлежит регистрации в уполномоченном государственном органе по регистрации прав на недвижимое имущество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8</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выступают ценные бумаги, подлежит регистрации соответствующим независимым реестродержателем либо депозитарием, где ценные бумаги, являющиеся предметом залога, депонированы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9</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выступают золото, денежные средства и право на разработку месторождения, подлежит регистрации оператором торгов виртуальных активов (криптобиржей) или банком, где данное имущество, являющееся предметом залога, депонировано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10</w:t>
      </w:r>
      <w:r>
        <w:rPr>
          <w:rFonts w:ascii="Arial" w:cs="Arial" w:eastAsia="Arial" w:hAnsi="Arial"/>
          <w:sz w:val="24"/>
          <w:szCs w:val="24"/>
        </w:rPr>
        <w:t xml:space="preserve">. Государственная регистрация эмиссии и публичного размещения виртуальных активов до регистрации залогового обеспечения по ним запрещается. </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11</w:t>
      </w:r>
      <w:r>
        <w:rPr>
          <w:rFonts w:ascii="Arial" w:cs="Arial" w:eastAsia="Arial" w:hAnsi="Arial"/>
          <w:sz w:val="24"/>
          <w:szCs w:val="24"/>
        </w:rPr>
        <w:t xml:space="preserve">. В случае неисполнения или ненадлежащего исполнения обязательств эмитентом виртуальных активов перед их владельцами последние имеют право письменно обратиться к управляющему залогом </w:t>
      </w:r>
      <w:r>
        <w:rPr>
          <w:rFonts w:ascii="Arial" w:cs="Arial" w:eastAsia="Arial" w:hAnsi="Arial"/>
          <w:sz w:val="24"/>
          <w:szCs w:val="24"/>
        </w:rPr>
        <w:t xml:space="preserve">(если такой управляющий был назначен), </w:t>
      </w:r>
      <w:r>
        <w:rPr>
          <w:rFonts w:ascii="Arial" w:cs="Arial" w:eastAsia="Arial" w:hAnsi="Arial"/>
          <w:sz w:val="24"/>
          <w:szCs w:val="24"/>
        </w:rPr>
        <w:t xml:space="preserve">который обязан не позднее 5 рабочих дней предпринять следующие действия:</w:t>
      </w:r>
    </w:p>
    <w:p>
      <w:pPr>
        <w:spacing w:after="120"/>
        <w:ind w:firstLine="397"/>
        <w:jc w:val="both"/>
      </w:pPr>
      <w:r>
        <w:rPr>
          <w:rFonts w:ascii="Arial" w:cs="Arial" w:eastAsia="Arial" w:hAnsi="Arial"/>
          <w:sz w:val="24"/>
          <w:szCs w:val="24"/>
        </w:rPr>
        <w:t xml:space="preserve">– обратиться с письменным требованием к эмитенту виртуальных активов о разъяснении текущей ситуации по исполнению эмитентом обязательств и в случае, если исполнение таких обязательств имеет просрочку, в письменном виде заявить эмитенту требование по устранению такой просрочки в срок не позднее 10 рабочих дней; </w:t>
      </w:r>
    </w:p>
    <w:p>
      <w:pPr>
        <w:spacing w:after="120"/>
        <w:ind w:firstLine="397"/>
        <w:jc w:val="both"/>
      </w:pPr>
      <w:r>
        <w:rPr>
          <w:rFonts w:ascii="Arial" w:cs="Arial" w:eastAsia="Arial" w:hAnsi="Arial"/>
          <w:sz w:val="24"/>
          <w:szCs w:val="24"/>
        </w:rPr>
        <w:t xml:space="preserve">– начать предусмотренные законодательством Кыргызской Республики действия по обращению взыскания на предмет залога, если управляющий залогом в течение 3 рабочих дней не получил от эмитента ответа на заявленное требование о разъяснении текущей ситуации, либо эмитент, которому заявлено требование о погашении просроченной задолженности по виртуальным активам, в 10-дневный срок их не исполнил.</w:t>
      </w:r>
    </w:p>
    <w:p>
      <w:pPr>
        <w:spacing w:after="120"/>
        <w:ind w:firstLine="397"/>
        <w:jc w:val="both"/>
      </w:pPr>
      <w:r>
        <w:rPr>
          <w:rFonts w:ascii="Arial" w:cs="Arial" w:eastAsia="Arial" w:hAnsi="Arial"/>
          <w:sz w:val="24"/>
          <w:szCs w:val="24"/>
        </w:rPr>
        <w:t xml:space="preserve">Управляющий залогом (если такой управляющий был назначен) обязан отслеживать ситуацию по исполнению эмитентом виртуальных активов обязательств перед их владельцами и предпринять действия, указанные в настоящем пункте, в случае отсутствия владельцев виртуальных активов по истечении не более 30 календарных дней с даты, когда имело место полное или частичное неисполнение эмитентом виртуальных активов своих обязательств перед их владельцами.».</w:t>
      </w:r>
    </w:p>
    <w:p>
      <w:pPr>
        <w:spacing w:after="120"/>
        <w:ind w:firstLine="397"/>
        <w:jc w:val="both"/>
      </w:pPr>
      <w:r>
        <w:rPr>
          <w:rFonts w:ascii="Arial" w:cs="Arial" w:eastAsia="Arial" w:hAnsi="Arial"/>
          <w:sz w:val="24"/>
          <w:szCs w:val="24"/>
        </w:rPr>
        <w:t xml:space="preserve">– пункты </w:t>
      </w:r>
      <w:hyperlink w:history="1" r:id="rIdwpoawckegx6vnoyk0rtk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tt15swko3opeu8ng-8g4s">
        <w:r>
          <w:rPr>
            <w:rFonts w:ascii="Arial" w:cs="Arial" w:eastAsia="Arial" w:hAnsi="Arial"/>
            <w:color w:val="1D4ED8"/>
            <w:sz w:val="24"/>
            <w:szCs w:val="24"/>
            <w:u w:val="single"/>
          </w:rPr>
          <w:t xml:space="preserve">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«4. Процедура эмиссии и публичного размещения виртуальных активов включает следующие этапы:</w:t>
      </w:r>
    </w:p>
    <w:p>
      <w:pPr>
        <w:spacing w:after="120"/>
        <w:ind w:firstLine="397"/>
        <w:jc w:val="both"/>
      </w:pPr>
      <w:r>
        <w:rPr>
          <w:rFonts w:ascii="Arial" w:cs="Arial" w:eastAsia="Arial" w:hAnsi="Arial"/>
          <w:sz w:val="24"/>
          <w:szCs w:val="24"/>
        </w:rPr>
        <w:t xml:space="preserve">1) принятие эмитентом решения о выпуске и размещении виртуальных активов;</w:t>
      </w:r>
    </w:p>
    <w:p>
      <w:pPr>
        <w:spacing w:after="120"/>
        <w:ind w:firstLine="397"/>
        <w:jc w:val="both"/>
      </w:pPr>
      <w:r>
        <w:rPr>
          <w:rFonts w:ascii="Arial" w:cs="Arial" w:eastAsia="Arial" w:hAnsi="Arial"/>
          <w:sz w:val="24"/>
          <w:szCs w:val="24"/>
        </w:rPr>
        <w:t xml:space="preserve">2) утверждение эмитентом белой бумаги (white paper);</w:t>
      </w:r>
    </w:p>
    <w:p>
      <w:pPr>
        <w:spacing w:after="120"/>
        <w:ind w:firstLine="397"/>
        <w:jc w:val="both"/>
      </w:pPr>
      <w:r>
        <w:rPr>
          <w:rFonts w:ascii="Arial" w:cs="Arial" w:eastAsia="Arial" w:hAnsi="Arial"/>
          <w:sz w:val="24"/>
          <w:szCs w:val="24"/>
        </w:rPr>
        <w:t xml:space="preserve">3) государственная регистрация эмиссии и публичного размещения виртуальных активов в уполномоченном государственном органе;</w:t>
      </w:r>
    </w:p>
    <w:p>
      <w:pPr>
        <w:spacing w:after="120"/>
        <w:ind w:firstLine="397"/>
        <w:jc w:val="both"/>
      </w:pPr>
      <w:r>
        <w:rPr>
          <w:rFonts w:ascii="Arial" w:cs="Arial" w:eastAsia="Arial" w:hAnsi="Arial"/>
          <w:sz w:val="24"/>
          <w:szCs w:val="24"/>
        </w:rPr>
        <w:t xml:space="preserve">4) раскрытие информации о публичном предложении виртуальных активов;</w:t>
      </w:r>
    </w:p>
    <w:p>
      <w:pPr>
        <w:spacing w:after="120"/>
        <w:ind w:firstLine="397"/>
        <w:jc w:val="both"/>
      </w:pPr>
      <w:r>
        <w:rPr>
          <w:rFonts w:ascii="Arial" w:cs="Arial" w:eastAsia="Arial" w:hAnsi="Arial"/>
          <w:sz w:val="24"/>
          <w:szCs w:val="24"/>
        </w:rPr>
        <w:t xml:space="preserve">5) размещение виртуальных активов;</w:t>
      </w:r>
    </w:p>
    <w:p>
      <w:pPr>
        <w:spacing w:after="120"/>
        <w:ind w:firstLine="397"/>
        <w:jc w:val="both"/>
      </w:pPr>
      <w:r>
        <w:rPr>
          <w:rFonts w:ascii="Arial" w:cs="Arial" w:eastAsia="Arial" w:hAnsi="Arial"/>
          <w:sz w:val="24"/>
          <w:szCs w:val="24"/>
        </w:rPr>
        <w:t xml:space="preserve">6) признание итогов выпуска виртуальных активов состоявшимися или несостоявшимися.</w:t>
      </w:r>
    </w:p>
    <w:p>
      <w:pPr>
        <w:spacing w:after="120"/>
        <w:ind w:firstLine="397"/>
        <w:jc w:val="both"/>
      </w:pPr>
      <w:r>
        <w:rPr>
          <w:rFonts w:ascii="Arial" w:cs="Arial" w:eastAsia="Arial" w:hAnsi="Arial"/>
          <w:sz w:val="24"/>
          <w:szCs w:val="24"/>
        </w:rPr>
        <w:t xml:space="preserve">5. Решением о выпуске и размещении виртуальных активов должны быть определены:</w:t>
      </w:r>
    </w:p>
    <w:p>
      <w:pPr>
        <w:spacing w:after="120"/>
        <w:ind w:firstLine="397"/>
        <w:jc w:val="both"/>
      </w:pPr>
      <w:r>
        <w:rPr>
          <w:rFonts w:ascii="Arial" w:cs="Arial" w:eastAsia="Arial" w:hAnsi="Arial"/>
          <w:sz w:val="24"/>
          <w:szCs w:val="24"/>
        </w:rPr>
        <w:t xml:space="preserve">1) количество виртуальных активов;</w:t>
      </w:r>
    </w:p>
    <w:p>
      <w:pPr>
        <w:spacing w:after="120"/>
        <w:ind w:firstLine="397"/>
        <w:jc w:val="both"/>
      </w:pPr>
      <w:r>
        <w:rPr>
          <w:rFonts w:ascii="Arial" w:cs="Arial" w:eastAsia="Arial" w:hAnsi="Arial"/>
          <w:sz w:val="24"/>
          <w:szCs w:val="24"/>
        </w:rPr>
        <w:t xml:space="preserve">2) номинальная стоимость одного виртуального актива;</w:t>
      </w:r>
    </w:p>
    <w:p>
      <w:pPr>
        <w:spacing w:after="120"/>
        <w:ind w:firstLine="397"/>
        <w:jc w:val="both"/>
      </w:pPr>
      <w:r>
        <w:rPr>
          <w:rFonts w:ascii="Arial" w:cs="Arial" w:eastAsia="Arial" w:hAnsi="Arial"/>
          <w:sz w:val="24"/>
          <w:szCs w:val="24"/>
        </w:rPr>
        <w:t xml:space="preserve">3) сроки и условия размещения виртуальных активов, в том числе в период предварительной продажи с дисконтом от номинальной стоимости виртуального актива;</w:t>
      </w:r>
    </w:p>
    <w:p>
      <w:pPr>
        <w:spacing w:after="120"/>
        <w:ind w:firstLine="397"/>
        <w:jc w:val="both"/>
      </w:pPr>
      <w:r>
        <w:rPr>
          <w:rFonts w:ascii="Arial" w:cs="Arial" w:eastAsia="Arial" w:hAnsi="Arial"/>
          <w:sz w:val="24"/>
          <w:szCs w:val="24"/>
        </w:rPr>
        <w:t xml:space="preserve">4) условия обращения виртуального актива (срок обращения, условия обмена и возврата, возможность и условия погашения, передачи виртуальных активов третьим лицам);</w:t>
      </w:r>
    </w:p>
    <w:p>
      <w:pPr>
        <w:spacing w:after="120"/>
        <w:ind w:firstLine="397"/>
        <w:jc w:val="both"/>
      </w:pPr>
      <w:r>
        <w:rPr>
          <w:rFonts w:ascii="Arial" w:cs="Arial" w:eastAsia="Arial" w:hAnsi="Arial"/>
          <w:sz w:val="24"/>
          <w:szCs w:val="24"/>
        </w:rPr>
        <w:t xml:space="preserve">5) название блокчейна, адрес кошелька эмитента виртуальных активов и смарт-контракта;</w:t>
      </w:r>
    </w:p>
    <w:p>
      <w:pPr>
        <w:spacing w:after="120"/>
        <w:ind w:firstLine="397"/>
        <w:jc w:val="both"/>
      </w:pPr>
      <w:r>
        <w:rPr>
          <w:rFonts w:ascii="Arial" w:cs="Arial" w:eastAsia="Arial" w:hAnsi="Arial"/>
          <w:sz w:val="24"/>
          <w:szCs w:val="24"/>
        </w:rPr>
        <w:t xml:space="preserve">6) сведения о стоимости имущества, выставляемого в обеспечение, и залог выпуска виртуальных активов;</w:t>
      </w:r>
    </w:p>
    <w:p>
      <w:pPr>
        <w:spacing w:after="120"/>
        <w:ind w:firstLine="397"/>
        <w:jc w:val="both"/>
      </w:pPr>
      <w:r>
        <w:rPr>
          <w:rFonts w:ascii="Arial" w:cs="Arial" w:eastAsia="Arial" w:hAnsi="Arial"/>
          <w:sz w:val="24"/>
          <w:szCs w:val="24"/>
        </w:rPr>
        <w:t xml:space="preserve">7) сведения об управляющем залогом (если такой управляющий был назначен);</w:t>
      </w:r>
    </w:p>
    <w:p>
      <w:pPr>
        <w:spacing w:after="120"/>
        <w:ind w:firstLine="397"/>
        <w:jc w:val="both"/>
      </w:pPr>
      <w:r>
        <w:rPr>
          <w:rFonts w:ascii="Arial" w:cs="Arial" w:eastAsia="Arial" w:hAnsi="Arial"/>
          <w:sz w:val="24"/>
          <w:szCs w:val="24"/>
        </w:rPr>
        <w:t xml:space="preserve">8) условия об отказе залогодателя от заложенного имущества в пользу владельцев виртуальных активов.</w:t>
      </w:r>
    </w:p>
    <w:p>
      <w:pPr>
        <w:spacing w:after="120"/>
        <w:ind w:firstLine="397"/>
        <w:jc w:val="both"/>
      </w:pPr>
      <w:r>
        <w:rPr>
          <w:rFonts w:ascii="Arial" w:cs="Arial" w:eastAsia="Arial" w:hAnsi="Arial"/>
          <w:sz w:val="24"/>
          <w:szCs w:val="24"/>
        </w:rPr>
        <w:t xml:space="preserve">Решение о выпуске и размещении виртуальных активов оформляется по форме согласно </w:t>
      </w:r>
      <w:hyperlink w:history="1" r:id="rIdgcoa8loeqc5ycio7jpr8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 в наименовании глав </w:t>
      </w:r>
      <w:hyperlink w:history="1" r:id="rIdhg6mpxagnjt6qk6as-mwz">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sogcgv99fj_miglrdwkqp">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rh2qtb8bnvzyryboot-hn">
        <w:r>
          <w:rPr>
            <w:rFonts w:ascii="Arial" w:cs="Arial" w:eastAsia="Arial" w:hAnsi="Arial"/>
            <w:color w:val="1D4ED8"/>
            <w:sz w:val="24"/>
            <w:szCs w:val="24"/>
            <w:u w:val="single"/>
          </w:rPr>
          <w:t xml:space="preserve">7</w:t>
        </w:r>
      </w:hyperlink>
      <w:r>
        <w:rPr>
          <w:rFonts w:ascii="Arial" w:cs="Arial" w:eastAsia="Arial" w:hAnsi="Arial"/>
          <w:sz w:val="24"/>
          <w:szCs w:val="24"/>
        </w:rPr>
        <w:t xml:space="preserve">, в пунктах </w:t>
      </w:r>
      <w:hyperlink w:history="1" r:id="rIdsqy3t-vvl14fpmspqmvs5">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9mvf22r51lph85xs3nbw">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rwyhmedhkwtrmwshh3k13">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bioyunpuaku6fo3uzogo8">
        <w:r>
          <w:rPr>
            <w:rFonts w:ascii="Arial" w:cs="Arial" w:eastAsia="Arial" w:hAnsi="Arial"/>
            <w:color w:val="1D4ED8"/>
            <w:sz w:val="24"/>
            <w:szCs w:val="24"/>
            <w:u w:val="single"/>
          </w:rPr>
          <w:t xml:space="preserve">28</w:t>
        </w:r>
      </w:hyperlink>
      <w:r>
        <w:rPr>
          <w:rFonts w:ascii="Arial" w:cs="Arial" w:eastAsia="Arial" w:hAnsi="Arial"/>
          <w:sz w:val="24"/>
          <w:szCs w:val="24"/>
        </w:rPr>
        <w:t xml:space="preserve"> слово «выпуска» заменить словами «эмиссии и публичного размещения»;</w:t>
      </w:r>
    </w:p>
    <w:p>
      <w:pPr>
        <w:spacing w:after="120"/>
        <w:ind w:firstLine="397"/>
        <w:jc w:val="both"/>
      </w:pPr>
      <w:r>
        <w:rPr>
          <w:rFonts w:ascii="Arial" w:cs="Arial" w:eastAsia="Arial" w:hAnsi="Arial"/>
          <w:sz w:val="24"/>
          <w:szCs w:val="24"/>
        </w:rPr>
        <w:t xml:space="preserve">– </w:t>
      </w:r>
      <w:hyperlink w:history="1" r:id="rId-_3zyc6kmwgfzklokbfqg">
        <w:r>
          <w:rPr>
            <w:rFonts w:ascii="Arial" w:cs="Arial" w:eastAsia="Arial" w:hAnsi="Arial"/>
            <w:color w:val="1D4ED8"/>
            <w:sz w:val="24"/>
            <w:szCs w:val="24"/>
            <w:u w:val="single"/>
          </w:rPr>
          <w:t xml:space="preserve">пункт 8</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 пункты </w:t>
      </w:r>
      <w:hyperlink w:history="1" r:id="rIdnd-82hpdof6_r8bfd4wrv">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hyperlink w:history="1" r:id="rIdn0u_rrg-l_z-kysa4t1wn">
        <w:r>
          <w:rPr>
            <w:rFonts w:ascii="Arial" w:cs="Arial" w:eastAsia="Arial" w:hAnsi="Arial"/>
            <w:color w:val="1D4ED8"/>
            <w:sz w:val="24"/>
            <w:szCs w:val="24"/>
            <w:u w:val="single"/>
          </w:rPr>
          <w:t xml:space="preserve">11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«9. Для государственной регистрации эмиссии и публичного размещения виртуальных активов эмитент представляет в уполномоченный государственный орган следующие документы:</w:t>
      </w:r>
    </w:p>
    <w:p>
      <w:pPr>
        <w:spacing w:after="120"/>
        <w:ind w:firstLine="397"/>
        <w:jc w:val="both"/>
      </w:pPr>
      <w:r>
        <w:rPr>
          <w:rFonts w:ascii="Arial" w:cs="Arial" w:eastAsia="Arial" w:hAnsi="Arial"/>
          <w:sz w:val="24"/>
          <w:szCs w:val="24"/>
        </w:rPr>
        <w:t xml:space="preserve">1) заявление по форме согласно </w:t>
      </w:r>
      <w:hyperlink w:history="1" r:id="rIdrjh2ricanaorx37xnpk0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2) решение о выпуске и размещении виртуальных активов;</w:t>
      </w:r>
    </w:p>
    <w:p>
      <w:pPr>
        <w:spacing w:after="120"/>
        <w:ind w:firstLine="397"/>
        <w:jc w:val="both"/>
      </w:pPr>
      <w:r>
        <w:rPr>
          <w:rFonts w:ascii="Arial" w:cs="Arial" w:eastAsia="Arial" w:hAnsi="Arial"/>
          <w:sz w:val="24"/>
          <w:szCs w:val="24"/>
        </w:rPr>
        <w:t xml:space="preserve">3) белая бумага (white paper) в 3 экземплярах;</w:t>
      </w:r>
    </w:p>
    <w:p>
      <w:pPr>
        <w:spacing w:after="120"/>
        <w:ind w:firstLine="397"/>
        <w:jc w:val="both"/>
      </w:pPr>
      <w:r>
        <w:rPr>
          <w:rFonts w:ascii="Arial" w:cs="Arial" w:eastAsia="Arial" w:hAnsi="Arial"/>
          <w:sz w:val="24"/>
          <w:szCs w:val="24"/>
        </w:rPr>
        <w:t xml:space="preserve">4) название блокчейна, адрес кошелька виртуальных активов эмитента и смарт-контракта в электронной форме;</w:t>
      </w:r>
    </w:p>
    <w:p>
      <w:pPr>
        <w:spacing w:after="120"/>
        <w:ind w:firstLine="397"/>
        <w:jc w:val="both"/>
      </w:pPr>
      <w:r>
        <w:rPr>
          <w:rFonts w:ascii="Arial" w:cs="Arial" w:eastAsia="Arial" w:hAnsi="Arial"/>
          <w:sz w:val="24"/>
          <w:szCs w:val="24"/>
        </w:rPr>
        <w:t xml:space="preserve">5) копия документа, подтверждающего регистрацию эмитента в качестве юридического лица (для эмитента – юридического лица);</w:t>
      </w:r>
    </w:p>
    <w:p>
      <w:pPr>
        <w:spacing w:after="120"/>
        <w:ind w:firstLine="397"/>
        <w:jc w:val="both"/>
      </w:pPr>
      <w:r>
        <w:rPr>
          <w:rFonts w:ascii="Arial" w:cs="Arial" w:eastAsia="Arial" w:hAnsi="Arial"/>
          <w:sz w:val="24"/>
          <w:szCs w:val="24"/>
        </w:rPr>
        <w:t xml:space="preserve">6) копии учредительных документов (для эмитента – юридического лица);</w:t>
      </w:r>
    </w:p>
    <w:p>
      <w:pPr>
        <w:spacing w:after="120"/>
        <w:ind w:firstLine="397"/>
        <w:jc w:val="both"/>
      </w:pPr>
      <w:r>
        <w:rPr>
          <w:rFonts w:ascii="Arial" w:cs="Arial" w:eastAsia="Arial" w:hAnsi="Arial"/>
          <w:sz w:val="24"/>
          <w:szCs w:val="24"/>
        </w:rPr>
        <w:t xml:space="preserve">7) копия паспорта (для эмитента – физического лица);</w:t>
      </w:r>
    </w:p>
    <w:p>
      <w:pPr>
        <w:spacing w:after="120"/>
        <w:ind w:firstLine="397"/>
        <w:jc w:val="both"/>
      </w:pPr>
      <w:r>
        <w:rPr>
          <w:rFonts w:ascii="Arial" w:cs="Arial" w:eastAsia="Arial" w:hAnsi="Arial"/>
          <w:sz w:val="24"/>
          <w:szCs w:val="24"/>
        </w:rPr>
        <w:t xml:space="preserve">8) документ, подтверждающий оплату регистрационного сбора;</w:t>
      </w:r>
    </w:p>
    <w:p>
      <w:pPr>
        <w:spacing w:after="120"/>
        <w:ind w:firstLine="397"/>
        <w:jc w:val="both"/>
      </w:pPr>
      <w:r>
        <w:rPr>
          <w:rFonts w:ascii="Arial" w:cs="Arial" w:eastAsia="Arial" w:hAnsi="Arial"/>
          <w:sz w:val="24"/>
          <w:szCs w:val="24"/>
        </w:rPr>
        <w:t xml:space="preserve">9) документы, подтверждающие наличие обеспечения исполнения обязательств эмитента;</w:t>
      </w:r>
    </w:p>
    <w:p>
      <w:pPr>
        <w:spacing w:after="120"/>
        <w:ind w:firstLine="397"/>
        <w:jc w:val="both"/>
      </w:pPr>
      <w:r>
        <w:rPr>
          <w:rFonts w:ascii="Arial" w:cs="Arial" w:eastAsia="Arial" w:hAnsi="Arial"/>
          <w:sz w:val="24"/>
          <w:szCs w:val="24"/>
        </w:rPr>
        <w:t xml:space="preserve">10) копия оценки независимым оценщиком имущества, являющегося предметом обеспечения и/или залога по виртуальным активам;</w:t>
      </w:r>
    </w:p>
    <w:p>
      <w:pPr>
        <w:spacing w:after="120"/>
        <w:ind w:firstLine="397"/>
        <w:jc w:val="both"/>
      </w:pPr>
      <w:r>
        <w:rPr>
          <w:rFonts w:ascii="Arial" w:cs="Arial" w:eastAsia="Arial" w:hAnsi="Arial"/>
          <w:sz w:val="24"/>
          <w:szCs w:val="24"/>
        </w:rPr>
        <w:t xml:space="preserve">11) документ, подтверждающий регистрацию залогового обеспечения;</w:t>
      </w:r>
    </w:p>
    <w:p>
      <w:pPr>
        <w:spacing w:after="120"/>
        <w:ind w:firstLine="397"/>
        <w:jc w:val="both"/>
      </w:pPr>
      <w:r>
        <w:rPr>
          <w:rFonts w:ascii="Arial" w:cs="Arial" w:eastAsia="Arial" w:hAnsi="Arial"/>
          <w:sz w:val="24"/>
          <w:szCs w:val="24"/>
        </w:rPr>
        <w:t xml:space="preserve">12) заполненные и подписанные эмитентом или учредителями/акционерами эмитента анкеты согласно приложениям </w:t>
      </w:r>
      <w:hyperlink w:history="1" r:id="rIdh56od8dnsqegt3whjmewe">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lslevompnjkuof-mdz_oz">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Положению либо сканированные копии заполненных анкет с последующим представлением оригинала.</w:t>
      </w:r>
    </w:p>
    <w:p>
      <w:pPr>
        <w:spacing w:after="120"/>
        <w:ind w:firstLine="397"/>
        <w:jc w:val="both"/>
      </w:pPr>
      <w:r>
        <w:rPr>
          <w:rFonts w:ascii="Arial" w:cs="Arial" w:eastAsia="Arial" w:hAnsi="Arial"/>
          <w:sz w:val="24"/>
          <w:szCs w:val="24"/>
        </w:rPr>
        <w:t xml:space="preserve">10. Уполномоченный государственный орган регистрирует эмиссию и публичное размещение виртуальных активов или принимает мотивированное решение об отказе в государственной регистрации эмиссии и публичного размещения виртуальных активов не позднее чем через 20 (двадцать) рабочих дней со дня получения документов для государственной регистрации эмиссии и публичного размещения виртуальных активов.</w:t>
      </w:r>
    </w:p>
    <w:p>
      <w:pPr>
        <w:spacing w:after="120"/>
        <w:ind w:firstLine="397"/>
        <w:jc w:val="both"/>
      </w:pPr>
      <w:r>
        <w:rPr>
          <w:rFonts w:ascii="Arial" w:cs="Arial" w:eastAsia="Arial" w:hAnsi="Arial"/>
          <w:sz w:val="24"/>
          <w:szCs w:val="24"/>
        </w:rPr>
        <w:t xml:space="preserve">11. В случае принятия решения о государственной регистрации эмиссии и публичного размещения виртуальных активов эмитенту выдается решение уполномоченного государственного органа о государственной регистрации эмиссии и публичного размещения виртуальных активов и два экземпляра зарегистрированной белой бумаги (white paper).»;</w:t>
      </w:r>
    </w:p>
    <w:p>
      <w:pPr>
        <w:spacing w:after="120"/>
        <w:ind w:firstLine="397"/>
        <w:jc w:val="both"/>
      </w:pPr>
      <w:r>
        <w:rPr>
          <w:rFonts w:ascii="Arial" w:cs="Arial" w:eastAsia="Arial" w:hAnsi="Arial"/>
          <w:sz w:val="24"/>
          <w:szCs w:val="24"/>
        </w:rPr>
        <w:t xml:space="preserve">– в </w:t>
      </w:r>
      <w:hyperlink w:history="1" r:id="rIdkhy0qzhn8rwujnu2gurvt">
        <w:r>
          <w:rPr>
            <w:rFonts w:ascii="Arial" w:cs="Arial" w:eastAsia="Arial" w:hAnsi="Arial"/>
            <w:color w:val="1D4ED8"/>
            <w:sz w:val="24"/>
            <w:szCs w:val="24"/>
            <w:u w:val="single"/>
          </w:rPr>
          <w:t xml:space="preserve">пункте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второй после слова «эмиссии» дополнить словами «и публичного размещения»;</w:t>
      </w:r>
    </w:p>
    <w:p>
      <w:pPr>
        <w:spacing w:after="120"/>
        <w:ind w:firstLine="397"/>
        <w:jc w:val="both"/>
      </w:pPr>
      <w:r>
        <w:rPr>
          <w:rFonts w:ascii="Arial" w:cs="Arial" w:eastAsia="Arial" w:hAnsi="Arial"/>
          <w:sz w:val="24"/>
          <w:szCs w:val="24"/>
        </w:rPr>
        <w:t xml:space="preserve">в абзаце третьем слова «об эмиссии» заменить словами «о выпуске и размещении»;</w:t>
      </w:r>
    </w:p>
    <w:p>
      <w:pPr>
        <w:spacing w:after="120"/>
        <w:ind w:firstLine="397"/>
        <w:jc w:val="both"/>
      </w:pPr>
      <w:r>
        <w:rPr>
          <w:rFonts w:ascii="Arial" w:cs="Arial" w:eastAsia="Arial" w:hAnsi="Arial"/>
          <w:sz w:val="24"/>
          <w:szCs w:val="24"/>
        </w:rPr>
        <w:t xml:space="preserve">– </w:t>
      </w:r>
      <w:hyperlink w:history="1" r:id="rIdstdkxsw8m0yczu0xwsoyo">
        <w:r>
          <w:rPr>
            <w:rFonts w:ascii="Arial" w:cs="Arial" w:eastAsia="Arial" w:hAnsi="Arial"/>
            <w:color w:val="1D4ED8"/>
            <w:sz w:val="24"/>
            <w:szCs w:val="24"/>
            <w:u w:val="single"/>
          </w:rPr>
          <w:t xml:space="preserve">пункт 20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«20. Виртуальные активы могут публично предлагаться в течение срока, установленного в белой бумаге (white paper).»;</w:t>
      </w:r>
    </w:p>
    <w:p>
      <w:pPr>
        <w:spacing w:after="120"/>
        <w:ind w:firstLine="397"/>
        <w:jc w:val="both"/>
      </w:pPr>
      <w:r>
        <w:rPr>
          <w:rFonts w:ascii="Arial" w:cs="Arial" w:eastAsia="Arial" w:hAnsi="Arial"/>
          <w:sz w:val="24"/>
          <w:szCs w:val="24"/>
        </w:rPr>
        <w:t xml:space="preserve">– пункты </w:t>
      </w:r>
      <w:hyperlink w:history="1" r:id="rIdbyodthzyrzkpallblm1f4">
        <w:r>
          <w:rPr>
            <w:rFonts w:ascii="Arial" w:cs="Arial" w:eastAsia="Arial" w:hAnsi="Arial"/>
            <w:color w:val="1D4ED8"/>
            <w:sz w:val="24"/>
            <w:szCs w:val="24"/>
            <w:u w:val="single"/>
          </w:rPr>
          <w:t xml:space="preserve">26</w:t>
        </w:r>
      </w:hyperlink>
      <w:r>
        <w:rPr>
          <w:rFonts w:ascii="Arial" w:cs="Arial" w:eastAsia="Arial" w:hAnsi="Arial"/>
          <w:sz w:val="24"/>
          <w:szCs w:val="24"/>
        </w:rPr>
        <w:t xml:space="preserve">, </w:t>
      </w:r>
      <w:hyperlink w:history="1" r:id="rIdizgfmfdcd0lqcew_eyw3b">
        <w:r>
          <w:rPr>
            <w:rFonts w:ascii="Arial" w:cs="Arial" w:eastAsia="Arial" w:hAnsi="Arial"/>
            <w:color w:val="1D4ED8"/>
            <w:sz w:val="24"/>
            <w:szCs w:val="24"/>
            <w:u w:val="single"/>
          </w:rPr>
          <w:t xml:space="preserve">27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«26. За государственную регистрацию эмиссии и публичного размещения виртуальных активов взимается сбор (регистрационный сбор) в размере 0,01 процента от общей номинальной стоимости всех виртуальных активов данного выпуска по курсу на криптобиржах на момент оплаты при условии наличия торгов и котировок по данному виртуальному активу.</w:t>
      </w:r>
    </w:p>
    <w:p>
      <w:pPr>
        <w:spacing w:after="120"/>
        <w:ind w:firstLine="397"/>
        <w:jc w:val="both"/>
      </w:pPr>
      <w:r>
        <w:rPr>
          <w:rFonts w:ascii="Arial" w:cs="Arial" w:eastAsia="Arial" w:hAnsi="Arial"/>
          <w:sz w:val="24"/>
          <w:szCs w:val="24"/>
        </w:rPr>
        <w:t xml:space="preserve">27. При отсутствии торгов и котировок по данному виртуальному активу на криптобиржах за государственную регистрацию эмиссии и публичное размещение виртуальных активов взимается сбор в размере 0,01 процента от общей номинальной стоимости всех виртуальных активов данного выпуска, заявленной эмитентом виртуальных активов.»;</w:t>
      </w:r>
    </w:p>
    <w:p>
      <w:pPr>
        <w:spacing w:after="120"/>
        <w:ind w:firstLine="397"/>
        <w:jc w:val="both"/>
      </w:pPr>
      <w:r>
        <w:rPr>
          <w:rFonts w:ascii="Arial" w:cs="Arial" w:eastAsia="Arial" w:hAnsi="Arial"/>
          <w:sz w:val="24"/>
          <w:szCs w:val="24"/>
        </w:rPr>
        <w:t xml:space="preserve">– в абзаце первом </w:t>
      </w:r>
      <w:hyperlink w:history="1" r:id="rIdqw7eagagtwks6c8lb91rp">
        <w:r>
          <w:rPr>
            <w:rFonts w:ascii="Arial" w:cs="Arial" w:eastAsia="Arial" w:hAnsi="Arial"/>
            <w:color w:val="1D4ED8"/>
            <w:sz w:val="24"/>
            <w:szCs w:val="24"/>
            <w:u w:val="single"/>
          </w:rPr>
          <w:t xml:space="preserve">пункта 31</w:t>
        </w:r>
      </w:hyperlink>
      <w:r>
        <w:rPr>
          <w:rFonts w:ascii="Arial" w:cs="Arial" w:eastAsia="Arial" w:hAnsi="Arial"/>
          <w:sz w:val="24"/>
          <w:szCs w:val="24"/>
        </w:rPr>
        <w:t xml:space="preserve"> слова «</w:t>
      </w:r>
      <w:hyperlink w:history="1" r:id="rIdrzwngdzzvvsemuur2gwi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заменить словами «</w:t>
      </w:r>
      <w:hyperlink w:history="1" r:id="rIdrvxb5ls4erymtrsqnqz_j">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третьем </w:t>
      </w:r>
      <w:hyperlink w:history="1" r:id="rIdmkfivvbzz-osb0yw-dqbe">
        <w:r>
          <w:rPr>
            <w:rFonts w:ascii="Arial" w:cs="Arial" w:eastAsia="Arial" w:hAnsi="Arial"/>
            <w:color w:val="1D4ED8"/>
            <w:sz w:val="24"/>
            <w:szCs w:val="24"/>
            <w:u w:val="single"/>
          </w:rPr>
          <w:t xml:space="preserve">пункта 32</w:t>
        </w:r>
      </w:hyperlink>
      <w:r>
        <w:rPr>
          <w:rFonts w:ascii="Arial" w:cs="Arial" w:eastAsia="Arial" w:hAnsi="Arial"/>
          <w:sz w:val="24"/>
          <w:szCs w:val="24"/>
        </w:rPr>
        <w:t xml:space="preserve"> слова «выпуска и размещения» заменить словами «эмиссии и/или публичного размещения»;</w:t>
      </w:r>
    </w:p>
    <w:p>
      <w:pPr>
        <w:spacing w:after="120"/>
        <w:ind w:firstLine="397"/>
        <w:jc w:val="both"/>
      </w:pPr>
      <w:r>
        <w:rPr>
          <w:rFonts w:ascii="Arial" w:cs="Arial" w:eastAsia="Arial" w:hAnsi="Arial"/>
          <w:sz w:val="24"/>
          <w:szCs w:val="24"/>
        </w:rPr>
        <w:t xml:space="preserve">– приложения </w:t>
      </w:r>
      <w:hyperlink w:history="1" r:id="rIdume0fnq-yb1l2cqzaxgec">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qksbqlv2puinq2fvamgxx">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вышеуказанному Положению изложить в редакции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в наименовании </w:t>
      </w:r>
      <w:hyperlink w:history="1" r:id="rIdsqokudx9sgm-1pbsshfd6">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вышеуказанному Положению слово «выпуска» заменить словами «эмиссии и публичного размещения»;</w:t>
      </w:r>
    </w:p>
    <w:p>
      <w:pPr>
        <w:spacing w:after="120"/>
        <w:ind w:firstLine="397"/>
        <w:jc w:val="both"/>
      </w:pPr>
      <w:r>
        <w:rPr>
          <w:rFonts w:ascii="Arial" w:cs="Arial" w:eastAsia="Arial" w:hAnsi="Arial"/>
          <w:sz w:val="24"/>
          <w:szCs w:val="24"/>
        </w:rPr>
        <w:t xml:space="preserve">– наименование </w:t>
      </w:r>
      <w:hyperlink w:history="1" r:id="rId5nomrsq7mx7o6w_0cgk8q">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 к вышеуказанному Положению изложить в следующей редакции: «Уведомление об итогах эмиссии и/или публичного размещения виртуальных активов»;</w:t>
      </w:r>
    </w:p>
    <w:p>
      <w:pPr>
        <w:spacing w:after="120"/>
        <w:ind w:firstLine="397"/>
        <w:jc w:val="both"/>
      </w:pPr>
      <w:r>
        <w:rPr>
          <w:rFonts w:ascii="Arial" w:cs="Arial" w:eastAsia="Arial" w:hAnsi="Arial"/>
          <w:sz w:val="24"/>
          <w:szCs w:val="24"/>
        </w:rPr>
        <w:t xml:space="preserve">3) </w:t>
      </w:r>
      <w:hyperlink w:history="1" r:id="rIdd4ybfn0ba3tpt5zdtex-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утвержденное вышеуказанным </w:t>
      </w:r>
      <w:hyperlink w:history="1" r:id="rIdjysadhsdnu-6nusllvek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w:t>
      </w:r>
      <w:hyperlink w:history="1" r:id="rIdvhuswbpo9odtwzso22dq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в </w:t>
      </w:r>
      <w:hyperlink w:history="1" r:id="rId9fieh5hjkjsphzbtn_05h">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регистрации и выдачи сертификата для деятельности по осуществлению майнинга, утвержденном вышеуказанным </w:t>
      </w:r>
      <w:hyperlink w:history="1" r:id="rIdgjmyo3lq7q6kpkpl3a1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murownoyy6_nobcoll9wd">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дополнить абзацами следующего содержания:</w:t>
      </w:r>
    </w:p>
    <w:p>
      <w:pPr>
        <w:spacing w:after="120"/>
        <w:ind w:firstLine="397"/>
        <w:jc w:val="both"/>
      </w:pPr>
      <w:r>
        <w:rPr>
          <w:rFonts w:ascii="Arial" w:cs="Arial" w:eastAsia="Arial" w:hAnsi="Arial"/>
          <w:sz w:val="24"/>
          <w:szCs w:val="24"/>
        </w:rPr>
        <w:t xml:space="preserve">«Единая государственная система коллективного майнинга – информационно-технологическая платформа, предназначенная для объединения вычислительных мощностей субъектов, осуществляющих деятельность по майнингу виртуальных активов, в целях совместного формирования блоков транзакций и распределения вознаграждений в соответствии с предоставленными вычислительными ресурсами;</w:t>
      </w:r>
    </w:p>
    <w:p>
      <w:pPr>
        <w:spacing w:after="120"/>
        <w:ind w:firstLine="397"/>
        <w:jc w:val="both"/>
      </w:pPr>
      <w:r>
        <w:rPr>
          <w:rFonts w:ascii="Arial" w:cs="Arial" w:eastAsia="Arial" w:hAnsi="Arial"/>
          <w:sz w:val="24"/>
          <w:szCs w:val="24"/>
        </w:rPr>
        <w:t xml:space="preserve">участник Единой государственной системы коллективного майнинга – субъект, осуществляющий деятельность по майнингу виртуальных активов, зарегистрированный в установленном порядке и присоединивший свои вычислительные мощности к Единой государственной системе коллективного майнинга;</w:t>
      </w:r>
    </w:p>
    <w:p>
      <w:pPr>
        <w:spacing w:after="120"/>
        <w:ind w:firstLine="397"/>
        <w:jc w:val="both"/>
      </w:pPr>
      <w:r>
        <w:rPr>
          <w:rFonts w:ascii="Arial" w:cs="Arial" w:eastAsia="Arial" w:hAnsi="Arial"/>
          <w:sz w:val="24"/>
          <w:szCs w:val="24"/>
        </w:rPr>
        <w:t xml:space="preserve">личный кабинет – персонифицированный информационный раздел на платформе Единой государственной системы коллективного майнинга, доступ к которому осуществляется с использованием электронной цифровой подписи.»; </w:t>
      </w:r>
    </w:p>
    <w:p>
      <w:pPr>
        <w:spacing w:after="120"/>
        <w:ind w:firstLine="397"/>
        <w:jc w:val="both"/>
      </w:pPr>
      <w:r>
        <w:rPr>
          <w:rFonts w:ascii="Arial" w:cs="Arial" w:eastAsia="Arial" w:hAnsi="Arial"/>
          <w:sz w:val="24"/>
          <w:szCs w:val="24"/>
        </w:rPr>
        <w:t xml:space="preserve">– </w:t>
      </w:r>
      <w:hyperlink w:history="1" r:id="rIdyvvkrjqbg20jpfwumgn_1">
        <w:r>
          <w:rPr>
            <w:rFonts w:ascii="Arial" w:cs="Arial" w:eastAsia="Arial" w:hAnsi="Arial"/>
            <w:color w:val="1D4ED8"/>
            <w:sz w:val="24"/>
            <w:szCs w:val="24"/>
            <w:u w:val="single"/>
          </w:rPr>
          <w:t xml:space="preserve">главу 1</w:t>
        </w:r>
      </w:hyperlink>
      <w:r>
        <w:rPr>
          <w:rFonts w:ascii="Arial" w:cs="Arial" w:eastAsia="Arial" w:hAnsi="Arial"/>
          <w:sz w:val="24"/>
          <w:szCs w:val="24"/>
        </w:rPr>
        <w:t xml:space="preserve"> дополнить </w:t>
      </w:r>
      <w:hyperlink w:history="1" r:id="rIdwcto6qif9pzj41ioyt244">
        <w:r>
          <w:rPr>
            <w:rFonts w:ascii="Arial" w:cs="Arial" w:eastAsia="Arial" w:hAnsi="Arial"/>
            <w:color w:val="1D4ED8"/>
            <w:sz w:val="24"/>
            <w:szCs w:val="24"/>
            <w:u w:val="single"/>
          </w:rPr>
          <w:t xml:space="preserve">пунктом 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Виртуальные активы, добытые в результате майнинга на территории Кыргызской Республики, подлежат обязательному первоначальному размещению и продаже на платформе оператора торгов виртуальных активов, лицензированных на территории Кыргызской Республики.»;</w:t>
      </w:r>
    </w:p>
    <w:p>
      <w:pPr>
        <w:spacing w:after="120"/>
        <w:ind w:firstLine="397"/>
        <w:jc w:val="both"/>
      </w:pPr>
      <w:r>
        <w:rPr>
          <w:rFonts w:ascii="Arial" w:cs="Arial" w:eastAsia="Arial" w:hAnsi="Arial"/>
          <w:sz w:val="24"/>
          <w:szCs w:val="24"/>
        </w:rPr>
        <w:t xml:space="preserve">– </w:t>
      </w:r>
      <w:hyperlink w:history="1" r:id="rIdhtma9ra6d_lyhf2n4fn2p">
        <w:r>
          <w:rPr>
            <w:rFonts w:ascii="Arial" w:cs="Arial" w:eastAsia="Arial" w:hAnsi="Arial"/>
            <w:color w:val="1D4ED8"/>
            <w:sz w:val="24"/>
            <w:szCs w:val="24"/>
            <w:u w:val="single"/>
          </w:rPr>
          <w:t xml:space="preserve">главу 4</w:t>
        </w:r>
      </w:hyperlink>
      <w:r>
        <w:rPr>
          <w:rFonts w:ascii="Arial" w:cs="Arial" w:eastAsia="Arial" w:hAnsi="Arial"/>
          <w:sz w:val="24"/>
          <w:szCs w:val="24"/>
        </w:rPr>
        <w:t xml:space="preserve"> дополнить </w:t>
      </w:r>
      <w:hyperlink w:history="1" r:id="rId1weq81bztnjodqspmlvww">
        <w:r>
          <w:rPr>
            <w:rFonts w:ascii="Arial" w:cs="Arial" w:eastAsia="Arial" w:hAnsi="Arial"/>
            <w:color w:val="1D4ED8"/>
            <w:sz w:val="24"/>
            <w:szCs w:val="24"/>
            <w:u w:val="single"/>
          </w:rPr>
          <w:t xml:space="preserve">пунктом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Заявитель несет ответственность, установленную законодательством Кыргызской Республики в области административного права,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120"/>
        <w:ind w:firstLine="397"/>
        <w:jc w:val="both"/>
      </w:pPr>
      <w:r>
        <w:rPr>
          <w:rFonts w:ascii="Arial" w:cs="Arial" w:eastAsia="Arial" w:hAnsi="Arial"/>
          <w:sz w:val="24"/>
          <w:szCs w:val="24"/>
        </w:rPr>
        <w:t xml:space="preserve">– </w:t>
      </w:r>
      <w:hyperlink w:history="1" r:id="rIdroon0nl09irc8dg6o-sw_">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дополнить </w:t>
      </w:r>
      <w:hyperlink w:history="1" r:id="rIdyg30aewpm2vawylloh44-">
        <w:r>
          <w:rPr>
            <w:rFonts w:ascii="Arial" w:cs="Arial" w:eastAsia="Arial" w:hAnsi="Arial"/>
            <w:color w:val="1D4ED8"/>
            <w:sz w:val="24"/>
            <w:szCs w:val="24"/>
            <w:u w:val="single"/>
          </w:rPr>
          <w:t xml:space="preserve">пунктом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Майнеры обязаны уведомлять уполномоченный орган об изменениях данных, указанных в документах, прилагаемых к заявлению на выдачу сертификата, не являющихся основанием для перерегистрации сертификата. Уведомление предоставляется в письменной форме не позднее 10 (десять)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Электронный реестр майнеров в течение 3 рабочих дней с даты поступления уведомления.»;</w:t>
      </w:r>
    </w:p>
    <w:p>
      <w:pPr>
        <w:spacing w:after="120"/>
        <w:ind w:firstLine="397"/>
        <w:jc w:val="both"/>
      </w:pPr>
      <w:r>
        <w:rPr>
          <w:rFonts w:ascii="Arial" w:cs="Arial" w:eastAsia="Arial" w:hAnsi="Arial"/>
          <w:sz w:val="24"/>
          <w:szCs w:val="24"/>
        </w:rPr>
        <w:t xml:space="preserve">дополнить главами </w:t>
      </w:r>
      <w:hyperlink w:history="1" r:id="rIdgjn84_wflx37a0nqk7dvw">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hyperlink w:history="1" r:id="rIdcpj_w6udljji6og79h7rq">
        <w:r>
          <w:rPr>
            <w:rFonts w:ascii="Arial" w:cs="Arial" w:eastAsia="Arial" w:hAnsi="Arial"/>
            <w:color w:val="1D4ED8"/>
            <w:sz w:val="24"/>
            <w:szCs w:val="24"/>
            <w:u w:val="single"/>
          </w:rPr>
          <w:t xml:space="preserve">12</w:t>
        </w:r>
      </w:hyperlink>
      <w:r>
        <w:rPr>
          <w:rFonts w:ascii="Arial" w:cs="Arial" w:eastAsia="Arial" w:hAnsi="Arial"/>
          <w:sz w:val="24"/>
          <w:szCs w:val="24"/>
        </w:rPr>
        <w:t xml:space="preserve"> следующего содержания: </w:t>
      </w:r>
    </w:p>
    <w:p>
      <w:pPr>
        <w:spacing w:after="120"/>
        <w:ind w:firstLine="397"/>
        <w:jc w:val="both"/>
      </w:pPr>
      <w:r>
        <w:rPr>
          <w:rFonts w:ascii="Arial" w:cs="Arial" w:eastAsia="Arial" w:hAnsi="Arial"/>
          <w:sz w:val="24"/>
          <w:szCs w:val="24"/>
        </w:rPr>
        <w:t xml:space="preserve">«</w:t>
      </w:r>
      <w:hyperlink w:history="1" r:id="rIdruk8inolx7rvffc-9jo7q">
        <w:r>
          <w:rPr>
            <w:rFonts w:ascii="Arial" w:cs="Arial" w:eastAsia="Arial" w:hAnsi="Arial"/>
            <w:color w:val="1D4ED8"/>
            <w:sz w:val="24"/>
            <w:szCs w:val="24"/>
            <w:u w:val="single"/>
          </w:rPr>
          <w:t xml:space="preserve">9</w:t>
        </w:r>
      </w:hyperlink>
      <w:r>
        <w:rPr>
          <w:rFonts w:ascii="Arial" w:cs="Arial" w:eastAsia="Arial" w:hAnsi="Arial"/>
          <w:sz w:val="24"/>
          <w:szCs w:val="24"/>
        </w:rPr>
        <w:t xml:space="preserve">. Учет и отчетность</w:t>
      </w:r>
    </w:p>
    <w:p>
      <w:pPr>
        <w:spacing w:after="120"/>
        <w:ind w:firstLine="397"/>
        <w:jc w:val="both"/>
      </w:pPr>
      <w:r>
        <w:rPr>
          <w:rFonts w:ascii="Arial" w:cs="Arial" w:eastAsia="Arial" w:hAnsi="Arial"/>
          <w:sz w:val="24"/>
          <w:szCs w:val="24"/>
        </w:rPr>
        <w:t xml:space="preserve">25. Майнеры обязаны ежемесячно представлять в уполномоченный орган оперативную отчетность. Форма отчетности утверждается приказом уполномоченного органа.</w:t>
      </w:r>
    </w:p>
    <w:p>
      <w:pPr>
        <w:spacing w:after="120"/>
        <w:ind w:firstLine="397"/>
        <w:jc w:val="both"/>
      </w:pPr>
      <w:r>
        <w:rPr>
          <w:rFonts w:ascii="Arial" w:cs="Arial" w:eastAsia="Arial" w:hAnsi="Arial"/>
          <w:sz w:val="24"/>
          <w:szCs w:val="24"/>
        </w:rPr>
        <w:t xml:space="preserve">26. Майнеры обязаны ежеквартально, не позднее 10 рабочих дней после окончания отчетного квартала, представлять в уполномоченный орган финансовую отчетность, составленную в соответствии с международными стандартами финансовой отчетности.</w:t>
      </w:r>
    </w:p>
    <w:p>
      <w:pPr>
        <w:spacing w:after="120"/>
        <w:ind w:firstLine="397"/>
        <w:jc w:val="both"/>
      </w:pPr>
      <w:hyperlink w:history="1" r:id="rIdjc3uobtrewlm7kech3bw2">
        <w:r>
          <w:rPr>
            <w:rFonts w:ascii="Arial" w:cs="Arial" w:eastAsia="Arial" w:hAnsi="Arial"/>
            <w:color w:val="1D4ED8"/>
            <w:sz w:val="24"/>
            <w:szCs w:val="24"/>
            <w:u w:val="single"/>
          </w:rPr>
          <w:t xml:space="preserve">10</w:t>
        </w:r>
      </w:hyperlink>
      <w:r>
        <w:rPr>
          <w:rFonts w:ascii="Arial" w:cs="Arial" w:eastAsia="Arial" w:hAnsi="Arial"/>
          <w:sz w:val="24"/>
          <w:szCs w:val="24"/>
        </w:rPr>
        <w:t xml:space="preserve">. Регистрация майнеров через Единую государственную систему коллективного майнинга</w:t>
      </w:r>
    </w:p>
    <w:p>
      <w:pPr>
        <w:spacing w:after="120"/>
        <w:ind w:firstLine="397"/>
        <w:jc w:val="both"/>
      </w:pPr>
      <w:r>
        <w:rPr>
          <w:rFonts w:ascii="Arial" w:cs="Arial" w:eastAsia="Arial" w:hAnsi="Arial"/>
          <w:sz w:val="24"/>
          <w:szCs w:val="24"/>
        </w:rPr>
        <w:t xml:space="preserve">27. Регистрация в Единой государственной системе коллективного майнинга осуществляется одним из следующих способов:</w:t>
      </w:r>
    </w:p>
    <w:p>
      <w:pPr>
        <w:spacing w:after="120"/>
        <w:ind w:firstLine="397"/>
        <w:jc w:val="both"/>
      </w:pPr>
      <w:r>
        <w:rPr>
          <w:rFonts w:ascii="Arial" w:cs="Arial" w:eastAsia="Arial" w:hAnsi="Arial"/>
          <w:sz w:val="24"/>
          <w:szCs w:val="24"/>
        </w:rPr>
        <w:t xml:space="preserve">1) одновременно с регистрацией майнера и получением сертификата в соответствии с главами </w:t>
      </w:r>
      <w:hyperlink w:history="1" r:id="rIdzhu_b9vjqjrrinmvk6t2n">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j62avy5ztg_a2rx7ie8n1">
        <w:r>
          <w:rPr>
            <w:rFonts w:ascii="Arial" w:cs="Arial" w:eastAsia="Arial" w:hAnsi="Arial"/>
            <w:color w:val="1D4ED8"/>
            <w:sz w:val="24"/>
            <w:szCs w:val="24"/>
            <w:u w:val="single"/>
          </w:rPr>
          <w:t xml:space="preserve">7</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2) после получения сертификата на осуществление деятельности по майнингу.</w:t>
      </w:r>
    </w:p>
    <w:p>
      <w:pPr>
        <w:spacing w:after="120"/>
        <w:ind w:firstLine="397"/>
        <w:jc w:val="both"/>
      </w:pPr>
      <w:r>
        <w:rPr>
          <w:rFonts w:ascii="Arial" w:cs="Arial" w:eastAsia="Arial" w:hAnsi="Arial"/>
          <w:sz w:val="24"/>
          <w:szCs w:val="24"/>
        </w:rPr>
        <w:t xml:space="preserve">28. Для регистрации в Единой государственной системе коллективного майнинга заявитель дополнительно к документам, указанным в </w:t>
      </w:r>
      <w:hyperlink w:history="1" r:id="rIdpyvmtrnnymifbgnosvrqh">
        <w:r>
          <w:rPr>
            <w:rFonts w:ascii="Arial" w:cs="Arial" w:eastAsia="Arial" w:hAnsi="Arial"/>
            <w:color w:val="1D4ED8"/>
            <w:sz w:val="24"/>
            <w:szCs w:val="24"/>
            <w:u w:val="single"/>
          </w:rPr>
          <w:t xml:space="preserve">пункте 11</w:t>
        </w:r>
      </w:hyperlink>
      <w:r>
        <w:rPr>
          <w:rFonts w:ascii="Arial" w:cs="Arial" w:eastAsia="Arial" w:hAnsi="Arial"/>
          <w:sz w:val="24"/>
          <w:szCs w:val="24"/>
        </w:rPr>
        <w:t xml:space="preserve"> настоящего Порядка, представляет в уполномоченный орган:</w:t>
      </w:r>
    </w:p>
    <w:p>
      <w:pPr>
        <w:spacing w:after="120"/>
        <w:ind w:firstLine="397"/>
        <w:jc w:val="both"/>
      </w:pPr>
      <w:r>
        <w:rPr>
          <w:rFonts w:ascii="Arial" w:cs="Arial" w:eastAsia="Arial" w:hAnsi="Arial"/>
          <w:sz w:val="24"/>
          <w:szCs w:val="24"/>
        </w:rPr>
        <w:t xml:space="preserve">1) заявление о регистрации в Единой государственной системе коллективного майнинга по форме согласно </w:t>
      </w:r>
      <w:hyperlink w:history="1" r:id="rIdhckkl0ghwuff2lgwxqhfy">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2) технические характеристики майнингового оборудования (модель, количество, хешрейт, энергопотребление);</w:t>
      </w:r>
    </w:p>
    <w:p>
      <w:pPr>
        <w:spacing w:after="120"/>
        <w:ind w:firstLine="397"/>
        <w:jc w:val="both"/>
      </w:pPr>
      <w:r>
        <w:rPr>
          <w:rFonts w:ascii="Arial" w:cs="Arial" w:eastAsia="Arial" w:hAnsi="Arial"/>
          <w:sz w:val="24"/>
          <w:szCs w:val="24"/>
        </w:rPr>
        <w:t xml:space="preserve">3) сведения о планируемом объеме потребления электроэнергии;</w:t>
      </w:r>
    </w:p>
    <w:p>
      <w:pPr>
        <w:spacing w:after="120"/>
        <w:ind w:firstLine="397"/>
        <w:jc w:val="both"/>
      </w:pPr>
      <w:r>
        <w:rPr>
          <w:rFonts w:ascii="Arial" w:cs="Arial" w:eastAsia="Arial" w:hAnsi="Arial"/>
          <w:sz w:val="24"/>
          <w:szCs w:val="24"/>
        </w:rPr>
        <w:t xml:space="preserve">4) документы, подтверждающие право собственности на майнинговое оборудование или договор аренды такого оборудования.</w:t>
      </w:r>
    </w:p>
    <w:p>
      <w:pPr>
        <w:spacing w:after="120"/>
        <w:ind w:firstLine="397"/>
        <w:jc w:val="both"/>
      </w:pPr>
      <w:r>
        <w:rPr>
          <w:rFonts w:ascii="Arial" w:cs="Arial" w:eastAsia="Arial" w:hAnsi="Arial"/>
          <w:sz w:val="24"/>
          <w:szCs w:val="24"/>
        </w:rPr>
        <w:t xml:space="preserve">29. Уполномоченный орган рассматривает заявление о регистрации в Единой государственной системе коллективного майнинга в течение 10 (десять) рабочих дней и принимает одно из следующих решений:</w:t>
      </w:r>
    </w:p>
    <w:p>
      <w:pPr>
        <w:spacing w:after="120"/>
        <w:ind w:firstLine="397"/>
        <w:jc w:val="both"/>
      </w:pPr>
      <w:r>
        <w:rPr>
          <w:rFonts w:ascii="Arial" w:cs="Arial" w:eastAsia="Arial" w:hAnsi="Arial"/>
          <w:sz w:val="24"/>
          <w:szCs w:val="24"/>
        </w:rPr>
        <w:t xml:space="preserve">1) о регистрации заявителя в Единой государственной системе коллективного майнинга;</w:t>
      </w:r>
    </w:p>
    <w:p>
      <w:pPr>
        <w:spacing w:after="120"/>
        <w:ind w:firstLine="397"/>
        <w:jc w:val="both"/>
      </w:pPr>
      <w:r>
        <w:rPr>
          <w:rFonts w:ascii="Arial" w:cs="Arial" w:eastAsia="Arial" w:hAnsi="Arial"/>
          <w:sz w:val="24"/>
          <w:szCs w:val="24"/>
        </w:rPr>
        <w:t xml:space="preserve">2) об отказе в регистрации заявителя в Единой государственной системе коллективного майнинга.</w:t>
      </w:r>
    </w:p>
    <w:p>
      <w:pPr>
        <w:spacing w:after="120"/>
        <w:ind w:firstLine="397"/>
        <w:jc w:val="both"/>
      </w:pPr>
      <w:r>
        <w:rPr>
          <w:rFonts w:ascii="Arial" w:cs="Arial" w:eastAsia="Arial" w:hAnsi="Arial"/>
          <w:sz w:val="24"/>
          <w:szCs w:val="24"/>
        </w:rPr>
        <w:t xml:space="preserve">30. Основаниями для отказа в регистрации заявителя в Единой государственной системе коллективного майнинга являются:</w:t>
      </w:r>
    </w:p>
    <w:p>
      <w:pPr>
        <w:spacing w:after="120"/>
        <w:ind w:firstLine="397"/>
        <w:jc w:val="both"/>
      </w:pPr>
      <w:r>
        <w:rPr>
          <w:rFonts w:ascii="Arial" w:cs="Arial" w:eastAsia="Arial" w:hAnsi="Arial"/>
          <w:sz w:val="24"/>
          <w:szCs w:val="24"/>
        </w:rPr>
        <w:t xml:space="preserve">1) несоответствие представленных документов требованиям, установленным настоящим Порядком;</w:t>
      </w:r>
    </w:p>
    <w:p>
      <w:pPr>
        <w:spacing w:after="120"/>
        <w:ind w:firstLine="397"/>
        <w:jc w:val="both"/>
      </w:pPr>
      <w:r>
        <w:rPr>
          <w:rFonts w:ascii="Arial" w:cs="Arial" w:eastAsia="Arial" w:hAnsi="Arial"/>
          <w:sz w:val="24"/>
          <w:szCs w:val="24"/>
        </w:rPr>
        <w:t xml:space="preserve">2) предоставление неполного пакета документов;</w:t>
      </w:r>
    </w:p>
    <w:p>
      <w:pPr>
        <w:spacing w:after="120"/>
        <w:ind w:firstLine="397"/>
        <w:jc w:val="both"/>
      </w:pPr>
      <w:r>
        <w:rPr>
          <w:rFonts w:ascii="Arial" w:cs="Arial" w:eastAsia="Arial" w:hAnsi="Arial"/>
          <w:sz w:val="24"/>
          <w:szCs w:val="24"/>
        </w:rPr>
        <w:t xml:space="preserve">3) предоставление недостоверной информации;</w:t>
      </w:r>
    </w:p>
    <w:p>
      <w:pPr>
        <w:spacing w:after="120"/>
        <w:ind w:firstLine="397"/>
        <w:jc w:val="both"/>
      </w:pPr>
      <w:r>
        <w:rPr>
          <w:rFonts w:ascii="Arial" w:cs="Arial" w:eastAsia="Arial" w:hAnsi="Arial"/>
          <w:sz w:val="24"/>
          <w:szCs w:val="24"/>
        </w:rPr>
        <w:t xml:space="preserve">4) несоответствие майнингового оборудования техническим требованиям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5) отсутствие у заявителя сертификата на осуществление деятельности по майнингу.</w:t>
      </w:r>
    </w:p>
    <w:p>
      <w:pPr>
        <w:spacing w:after="120"/>
        <w:ind w:firstLine="397"/>
        <w:jc w:val="both"/>
      </w:pPr>
      <w:r>
        <w:rPr>
          <w:rFonts w:ascii="Arial" w:cs="Arial" w:eastAsia="Arial" w:hAnsi="Arial"/>
          <w:sz w:val="24"/>
          <w:szCs w:val="24"/>
        </w:rPr>
        <w:t xml:space="preserve">31. В случае принятия решения о регистрации заявителя в Единой государственной системе коллективного майнинга уполномоченный орган в течение 3 (трех) рабочих дней:</w:t>
      </w:r>
    </w:p>
    <w:p>
      <w:pPr>
        <w:spacing w:after="120"/>
        <w:ind w:firstLine="397"/>
        <w:jc w:val="both"/>
      </w:pPr>
      <w:r>
        <w:rPr>
          <w:rFonts w:ascii="Arial" w:cs="Arial" w:eastAsia="Arial" w:hAnsi="Arial"/>
          <w:sz w:val="24"/>
          <w:szCs w:val="24"/>
        </w:rPr>
        <w:t xml:space="preserve">1) вносит соответствующие сведения в Электронный реестр майнеров;</w:t>
      </w:r>
    </w:p>
    <w:p>
      <w:pPr>
        <w:spacing w:after="120"/>
        <w:ind w:firstLine="397"/>
        <w:jc w:val="both"/>
      </w:pPr>
      <w:r>
        <w:rPr>
          <w:rFonts w:ascii="Arial" w:cs="Arial" w:eastAsia="Arial" w:hAnsi="Arial"/>
          <w:sz w:val="24"/>
          <w:szCs w:val="24"/>
        </w:rPr>
        <w:t xml:space="preserve">2) предоставляет заявителю учетные данные для доступа к личному кабинету на платформе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3) направляет инструкции по подключению майнингового оборудования к Единой государственной системе коллективного майнинга.</w:t>
      </w:r>
    </w:p>
    <w:p>
      <w:pPr>
        <w:spacing w:after="120"/>
        <w:ind w:firstLine="397"/>
        <w:jc w:val="both"/>
      </w:pPr>
      <w:hyperlink w:history="1" r:id="rIdjtlrhnqsfuilhu5-96fju">
        <w:r>
          <w:rPr>
            <w:rFonts w:ascii="Arial" w:cs="Arial" w:eastAsia="Arial" w:hAnsi="Arial"/>
            <w:color w:val="1D4ED8"/>
            <w:sz w:val="24"/>
            <w:szCs w:val="24"/>
            <w:u w:val="single"/>
          </w:rPr>
          <w:t xml:space="preserve">11</w:t>
        </w:r>
      </w:hyperlink>
      <w:r>
        <w:rPr>
          <w:rFonts w:ascii="Arial" w:cs="Arial" w:eastAsia="Arial" w:hAnsi="Arial"/>
          <w:sz w:val="24"/>
          <w:szCs w:val="24"/>
        </w:rPr>
        <w:t xml:space="preserve">. Порядок функционирования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32. Технические параметры функционирования Единой государственной системы коллективного майнинга, протоколы подключения, распределение нагрузки и вознаграждений определяются уполномоченным органом.</w:t>
      </w:r>
    </w:p>
    <w:p>
      <w:pPr>
        <w:spacing w:after="120"/>
        <w:ind w:firstLine="397"/>
        <w:jc w:val="both"/>
      </w:pPr>
      <w:r>
        <w:rPr>
          <w:rFonts w:ascii="Arial" w:cs="Arial" w:eastAsia="Arial" w:hAnsi="Arial"/>
          <w:sz w:val="24"/>
          <w:szCs w:val="24"/>
        </w:rPr>
        <w:t xml:space="preserve">33. Виртуальные активы, добытые участниками Единой государственной системы коллективного майнинга, подлежат обязательному первоначальному размещению и продаже на платформе оператора торгов виртуальных активов, лицензированного на территории Кыргызской Республики.</w:t>
      </w:r>
    </w:p>
    <w:p>
      <w:pPr>
        <w:spacing w:after="120"/>
        <w:ind w:firstLine="397"/>
        <w:jc w:val="both"/>
      </w:pPr>
      <w:r>
        <w:rPr>
          <w:rFonts w:ascii="Arial" w:cs="Arial" w:eastAsia="Arial" w:hAnsi="Arial"/>
          <w:sz w:val="24"/>
          <w:szCs w:val="24"/>
        </w:rPr>
        <w:t xml:space="preserve">34. Распределение вознаграждения между участниками Единой государственной системы коллективного майнинга осуществляется пропорционально предоставленным вычислительным мощностям в автоматическом режиме.</w:t>
      </w:r>
    </w:p>
    <w:p>
      <w:pPr>
        <w:spacing w:after="120"/>
        <w:ind w:firstLine="397"/>
        <w:jc w:val="both"/>
      </w:pPr>
      <w:r>
        <w:rPr>
          <w:rFonts w:ascii="Arial" w:cs="Arial" w:eastAsia="Arial" w:hAnsi="Arial"/>
          <w:sz w:val="24"/>
          <w:szCs w:val="24"/>
        </w:rPr>
        <w:t xml:space="preserve">35. Участник Единой государственной системы коллективного майнинга имеет право:</w:t>
      </w:r>
    </w:p>
    <w:p>
      <w:pPr>
        <w:spacing w:after="120"/>
        <w:ind w:firstLine="397"/>
        <w:jc w:val="both"/>
      </w:pPr>
      <w:r>
        <w:rPr>
          <w:rFonts w:ascii="Arial" w:cs="Arial" w:eastAsia="Arial" w:hAnsi="Arial"/>
          <w:sz w:val="24"/>
          <w:szCs w:val="24"/>
        </w:rPr>
        <w:t xml:space="preserve">1) получать вознаграждение пропорционально предоставленным вычислительным мощностям;</w:t>
      </w:r>
    </w:p>
    <w:p>
      <w:pPr>
        <w:spacing w:after="120"/>
        <w:ind w:firstLine="397"/>
        <w:jc w:val="both"/>
      </w:pPr>
      <w:r>
        <w:rPr>
          <w:rFonts w:ascii="Arial" w:cs="Arial" w:eastAsia="Arial" w:hAnsi="Arial"/>
          <w:sz w:val="24"/>
          <w:szCs w:val="24"/>
        </w:rPr>
        <w:t xml:space="preserve">2) получать информацию о работе своего оборудования в режиме реального времени через личный кабинет;</w:t>
      </w:r>
    </w:p>
    <w:p>
      <w:pPr>
        <w:spacing w:after="120"/>
        <w:ind w:firstLine="397"/>
        <w:jc w:val="both"/>
      </w:pPr>
      <w:r>
        <w:rPr>
          <w:rFonts w:ascii="Arial" w:cs="Arial" w:eastAsia="Arial" w:hAnsi="Arial"/>
          <w:sz w:val="24"/>
          <w:szCs w:val="24"/>
        </w:rPr>
        <w:t xml:space="preserve">3) временно приостанавливать участие в Единой государственной системе коллективного майнинга с обязательным уведомлением уполномоченного органа не менее чем за 5 (пять) рабочих дней;</w:t>
      </w:r>
    </w:p>
    <w:p>
      <w:pPr>
        <w:spacing w:after="120"/>
        <w:ind w:firstLine="397"/>
        <w:jc w:val="both"/>
      </w:pPr>
      <w:r>
        <w:rPr>
          <w:rFonts w:ascii="Arial" w:cs="Arial" w:eastAsia="Arial" w:hAnsi="Arial"/>
          <w:sz w:val="24"/>
          <w:szCs w:val="24"/>
        </w:rPr>
        <w:t xml:space="preserve">4) выйти из Единой государственной системы коллективного майнинга с обязательным уведомлением уполномоченного органа не менее чем за 30 (тридцать) календарных дней.</w:t>
      </w:r>
    </w:p>
    <w:p>
      <w:pPr>
        <w:spacing w:after="120"/>
        <w:ind w:firstLine="397"/>
        <w:jc w:val="both"/>
      </w:pPr>
      <w:r>
        <w:rPr>
          <w:rFonts w:ascii="Arial" w:cs="Arial" w:eastAsia="Arial" w:hAnsi="Arial"/>
          <w:sz w:val="24"/>
          <w:szCs w:val="24"/>
        </w:rPr>
        <w:t xml:space="preserve">36. Участник Единой государственной системы коллективного майнинга обязан:</w:t>
      </w:r>
    </w:p>
    <w:p>
      <w:pPr>
        <w:spacing w:after="120"/>
        <w:ind w:firstLine="397"/>
        <w:jc w:val="both"/>
      </w:pPr>
      <w:r>
        <w:rPr>
          <w:rFonts w:ascii="Arial" w:cs="Arial" w:eastAsia="Arial" w:hAnsi="Arial"/>
          <w:sz w:val="24"/>
          <w:szCs w:val="24"/>
        </w:rPr>
        <w:t xml:space="preserve">1) соблюдать требования настоящего Порядка и регламента функционирования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2) обеспечить бесперебойную работу своего майнингового оборудования, подключенного к Единой государственной системе коллективного майнинга;</w:t>
      </w:r>
    </w:p>
    <w:p>
      <w:pPr>
        <w:spacing w:after="120"/>
        <w:ind w:firstLine="397"/>
        <w:jc w:val="both"/>
      </w:pPr>
      <w:r>
        <w:rPr>
          <w:rFonts w:ascii="Arial" w:cs="Arial" w:eastAsia="Arial" w:hAnsi="Arial"/>
          <w:sz w:val="24"/>
          <w:szCs w:val="24"/>
        </w:rPr>
        <w:t xml:space="preserve">3) предоставлять уполномоченному органу доступ к майнинговому оборудованию для проверки соответствия заявленных параметров;</w:t>
      </w:r>
    </w:p>
    <w:p>
      <w:pPr>
        <w:spacing w:after="120"/>
        <w:ind w:firstLine="397"/>
        <w:jc w:val="both"/>
      </w:pPr>
      <w:r>
        <w:rPr>
          <w:rFonts w:ascii="Arial" w:cs="Arial" w:eastAsia="Arial" w:hAnsi="Arial"/>
          <w:sz w:val="24"/>
          <w:szCs w:val="24"/>
        </w:rPr>
        <w:t xml:space="preserve">4) уведомлять уполномоченный орган об изменениях в составе и характеристиках майнингового оборудования в течение 5 (пяти) рабочих дней с момента таких изменений;</w:t>
      </w:r>
    </w:p>
    <w:p>
      <w:pPr>
        <w:spacing w:after="120"/>
        <w:ind w:firstLine="397"/>
        <w:jc w:val="both"/>
      </w:pPr>
      <w:r>
        <w:rPr>
          <w:rFonts w:ascii="Arial" w:cs="Arial" w:eastAsia="Arial" w:hAnsi="Arial"/>
          <w:sz w:val="24"/>
          <w:szCs w:val="24"/>
        </w:rPr>
        <w:t xml:space="preserve">5) выполнять требования по информационной безопасности, установленные уполномоченным органом.</w:t>
      </w:r>
    </w:p>
    <w:p>
      <w:pPr>
        <w:spacing w:after="120"/>
        <w:ind w:firstLine="397"/>
        <w:jc w:val="both"/>
      </w:pPr>
      <w:hyperlink w:history="1" r:id="rId08yg-n4goeoohszcfyrnx">
        <w:r>
          <w:rPr>
            <w:rFonts w:ascii="Arial" w:cs="Arial" w:eastAsia="Arial" w:hAnsi="Arial"/>
            <w:color w:val="1D4ED8"/>
            <w:sz w:val="24"/>
            <w:szCs w:val="24"/>
            <w:u w:val="single"/>
          </w:rPr>
          <w:t xml:space="preserve">12</w:t>
        </w:r>
      </w:hyperlink>
      <w:r>
        <w:rPr>
          <w:rFonts w:ascii="Arial" w:cs="Arial" w:eastAsia="Arial" w:hAnsi="Arial"/>
          <w:sz w:val="24"/>
          <w:szCs w:val="24"/>
        </w:rPr>
        <w:t xml:space="preserve">. Порядок учета и отчетности участников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37. Учет данных о работе майнингового оборудования участников Единой государственной системы коллективного майнинга, распределении вознаграждений и осуществленных транзакциях ведется в автоматическом режиме на платформе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38. Уполномоченный орган обеспечивает формирование и предоставление в налоговые органы информации о доходах участников Единой государственной системы коллективного майнинга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39. Участники Единой государственной системы коллективного майнинга обязаны вести учет добытых виртуальных активов и предоставлять отчетность в уполномоченный орган по форме и в сроки, установленные уполномоченным органом. При этом участники, осуществляющие деятельность исключительно в рамках Единой государственной системы коллективного майнинга, вправе предоставлять упрощенную форму отчетности, утверждаемую уполномоченным органом.</w:t>
      </w:r>
    </w:p>
    <w:p>
      <w:pPr>
        <w:spacing w:after="120"/>
        <w:ind w:firstLine="397"/>
        <w:jc w:val="both"/>
      </w:pPr>
      <w:r>
        <w:rPr>
          <w:rFonts w:ascii="Arial" w:cs="Arial" w:eastAsia="Arial" w:hAnsi="Arial"/>
          <w:sz w:val="24"/>
          <w:szCs w:val="24"/>
        </w:rPr>
        <w:t xml:space="preserve">40. За нарушение требований настоящего Порядка и регламента функционирования Единой государственной системы коллективного майнинга участник может быть исключен из Единой государственной системы коллективного майнинга решением уполномоченного органа.</w:t>
      </w:r>
    </w:p>
    <w:p>
      <w:pPr>
        <w:spacing w:after="120"/>
        <w:ind w:firstLine="397"/>
        <w:jc w:val="both"/>
      </w:pPr>
      <w:r>
        <w:rPr>
          <w:rFonts w:ascii="Arial" w:cs="Arial" w:eastAsia="Arial" w:hAnsi="Arial"/>
          <w:sz w:val="24"/>
          <w:szCs w:val="24"/>
        </w:rPr>
        <w:t xml:space="preserve">41. Исключение из Единой государственной системы коллективного майнинга не влечет автоматического прекращения действия сертификата на осуществление деятельности по майнингу,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42. Споры, возникающие между участниками Единой государственной системы коллективного майнинга и уполномоченным органом, разрешаются в порядке, предусмотренном </w:t>
      </w:r>
      <w:hyperlink w:history="1" r:id="rId_d9r6pem36y1mg-uofse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 дополнить </w:t>
      </w:r>
      <w:hyperlink w:history="1" r:id="rIdapt_rwkpviynbmrev5e2r">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в редакции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w:t>
      </w:r>
      <w:hyperlink w:history="1" r:id="rIddm6kgx-ydvc1fvqocijy2">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3 октября 2025 года № 75 (3731)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hptxnhktpchqs5-cplamk">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n84shhg2srbzvt0cxprih">
        <w:r>
          <w:rPr>
            <w:rFonts w:ascii="Arial" w:cs="Arial" w:eastAsia="Arial" w:hAnsi="Arial"/>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vmdb2mqktejfaylveuzes">
        <w:r>
          <w:rPr>
            <w:rFonts w:ascii="Arial" w:cs="Arial" w:eastAsia="Arial" w:hAnsi="Arial"/>
            <w:color w:val="1D4ED8"/>
            <w:sz w:val="24"/>
            <w:szCs w:val="24"/>
            <w:u w:val="single"/>
          </w:rPr>
          <w:t xml:space="preserve">Приложение 3</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деятельности оператора обмена виртуальных</w:t>
      </w:r>
    </w:p>
    <w:p>
      <w:pPr>
        <w:spacing w:after="240" w:before="200"/>
        <w:jc w:val="center"/>
      </w:pPr>
      <w:r>
        <w:rPr>
          <w:rFonts w:ascii="Arial" w:cs="Arial" w:eastAsia="Arial" w:hAnsi="Arial"/>
          <w:b/>
          <w:bCs/>
          <w:sz w:val="32"/>
          <w:szCs w:val="32"/>
        </w:rPr>
        <w:t xml:space="preserve">активов и ведении Реестра операторов обмена</w:t>
      </w:r>
    </w:p>
    <w:p>
      <w:pPr>
        <w:spacing w:after="240" w:before="200"/>
        <w:jc w:val="center"/>
      </w:pPr>
      <w:r>
        <w:rPr>
          <w:rFonts w:ascii="Arial" w:cs="Arial" w:eastAsia="Arial" w:hAnsi="Arial"/>
          <w:b/>
          <w:bCs/>
          <w:sz w:val="32"/>
          <w:szCs w:val="32"/>
        </w:rPr>
        <w:t xml:space="preserve">виртуальных активов</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со статьями </w:t>
      </w:r>
      <w:hyperlink w:history="1" r:id="rIdwoueubxpg5rld6qqevxtc">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gwmllllti86-31droimot">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qlan6nywwa0nksc0_dih7">
        <w:r>
          <w:rPr>
            <w:rFonts w:ascii="Arial" w:cs="Arial" w:eastAsia="Arial" w:hAnsi="Arial"/>
            <w:color w:val="1D4ED8"/>
            <w:sz w:val="24"/>
            <w:szCs w:val="24"/>
            <w:u w:val="single"/>
          </w:rPr>
          <w:t xml:space="preserve">30</w:t>
        </w:r>
      </w:hyperlink>
      <w:r>
        <w:rPr>
          <w:rFonts w:ascii="Arial" w:cs="Arial" w:eastAsia="Arial" w:hAnsi="Arial"/>
          <w:sz w:val="24"/>
          <w:szCs w:val="24"/>
        </w:rPr>
        <w:t xml:space="preserve"> Закона Кыргызской Республики "О виртуальных активах".</w:t>
      </w:r>
    </w:p>
    <w:p>
      <w:pPr>
        <w:spacing w:after="120"/>
        <w:ind w:firstLine="397"/>
        <w:jc w:val="both"/>
      </w:pPr>
      <w:r>
        <w:rPr>
          <w:rFonts w:ascii="Arial" w:cs="Arial" w:eastAsia="Arial" w:hAnsi="Arial"/>
          <w:sz w:val="24"/>
          <w:szCs w:val="24"/>
        </w:rPr>
        <w:t xml:space="preserve">Деятельность оператора обмена виртуальных активов является лицензируемой и подлежит государственной регистрации в Реестре операторов обмена виртуальных активов. Порядок государственной регистрации операторов обмена виртуальных активов определяется настоящим Положением.</w:t>
      </w:r>
    </w:p>
    <w:p>
      <w:pPr>
        <w:spacing w:after="120"/>
        <w:ind w:firstLine="397"/>
        <w:jc w:val="both"/>
      </w:pPr>
      <w:r>
        <w:rPr>
          <w:rFonts w:ascii="Arial" w:cs="Arial" w:eastAsia="Arial" w:hAnsi="Arial"/>
          <w:sz w:val="24"/>
          <w:szCs w:val="24"/>
        </w:rPr>
        <w:t xml:space="preserve">2. Применительно к настоящему Положению нижеприведенные термины используются в следующих значениях:</w:t>
      </w:r>
    </w:p>
    <w:p>
      <w:pPr>
        <w:spacing w:after="120"/>
        <w:ind w:firstLine="397"/>
        <w:jc w:val="both"/>
      </w:pP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оператора обмена виртуальных активов, либо физическое лицо, от имени или в интересах которого совершается операция (сделка);</w:t>
      </w:r>
    </w:p>
    <w:p>
      <w:pPr>
        <w:spacing w:after="120"/>
        <w:ind w:firstLine="397"/>
        <w:jc w:val="both"/>
      </w:pP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оператора обмена виртуальных активов либо с которыми оператор обмена виртуальных активов устанавливает или установил деловые отношения;</w:t>
      </w:r>
    </w:p>
    <w:p>
      <w:pPr>
        <w:spacing w:after="120"/>
        <w:ind w:firstLine="397"/>
        <w:jc w:val="both"/>
      </w:pPr>
      <w:r>
        <w:rPr>
          <w:rFonts w:ascii="Arial" w:cs="Arial" w:eastAsia="Arial" w:hAnsi="Arial"/>
          <w:b/>
          <w:bCs/>
          <w:sz w:val="24"/>
          <w:szCs w:val="24"/>
        </w:rPr>
        <w:t xml:space="preserve">верификация</w:t>
      </w:r>
      <w:r>
        <w:rPr>
          <w:rFonts w:ascii="Arial" w:cs="Arial" w:eastAsia="Arial" w:hAnsi="Arial"/>
          <w:sz w:val="24"/>
          <w:szCs w:val="24"/>
        </w:rPr>
        <w:t xml:space="preserve"> - процедура проверки идентификационных данных клиента и (или) бенефициарного владельца;</w:t>
      </w:r>
    </w:p>
    <w:p>
      <w:pPr>
        <w:spacing w:after="120"/>
        <w:ind w:firstLine="39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120"/>
        <w:ind w:firstLine="397"/>
        <w:jc w:val="both"/>
      </w:pPr>
      <w:r>
        <w:rPr>
          <w:rFonts w:ascii="Arial" w:cs="Arial" w:eastAsia="Arial" w:hAnsi="Arial"/>
          <w:b/>
          <w:bCs/>
          <w:sz w:val="24"/>
          <w:szCs w:val="24"/>
        </w:rPr>
        <w:t xml:space="preserve">процентный скоринг</w:t>
      </w:r>
      <w:r>
        <w:rPr>
          <w:rFonts w:ascii="Arial" w:cs="Arial" w:eastAsia="Arial" w:hAnsi="Arial"/>
          <w:sz w:val="24"/>
          <w:szCs w:val="24"/>
        </w:rPr>
        <w:t xml:space="preserve"> - это количественная оценка уровня риска виртуального актива или виртуального кошелька, основанная на анализе его поведения, операций и иных факторов, связанных с возможностью использования в противоправных действиях, таких как отмывание денег или финансирование терроризма;</w:t>
      </w:r>
    </w:p>
    <w:p>
      <w:pPr>
        <w:spacing w:after="120"/>
        <w:ind w:firstLine="39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виртуальных активов.</w:t>
      </w:r>
    </w:p>
    <w:p>
      <w:pPr>
        <w:spacing w:after="120"/>
        <w:ind w:firstLine="397"/>
        <w:jc w:val="both"/>
      </w:pPr>
      <w:r>
        <w:rPr>
          <w:rFonts w:ascii="Arial" w:cs="Arial" w:eastAsia="Arial" w:hAnsi="Arial"/>
          <w:sz w:val="24"/>
          <w:szCs w:val="24"/>
        </w:rPr>
        <w:t xml:space="preserve">3. Иные термины используются в значениях, определенных </w:t>
      </w:r>
      <w:hyperlink w:history="1" r:id="rIdyuzwpffej0v1hhbfqpa5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397"/>
        <w:jc w:val="both"/>
      </w:pPr>
      <w:r>
        <w:rPr>
          <w:rFonts w:ascii="Arial" w:cs="Arial" w:eastAsia="Arial" w:hAnsi="Arial"/>
          <w:sz w:val="24"/>
          <w:szCs w:val="24"/>
        </w:rPr>
        <w:t xml:space="preserve">4. Для целей настоящего Положения предусмотренные требования для юридических лиц распространяются также на организации, созданные в соответствии с иностранным правом и не имеющие статус юридических лиц (кроме обособленных подразделений юридических лиц).</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к акционерам/учредителям/участникам,</w:t>
      </w:r>
    </w:p>
    <w:p>
      <w:pPr>
        <w:spacing w:after="240" w:before="200"/>
        <w:jc w:val="center"/>
      </w:pPr>
      <w:r>
        <w:rPr>
          <w:rFonts w:ascii="Arial" w:cs="Arial" w:eastAsia="Arial" w:hAnsi="Arial"/>
          <w:b/>
          <w:bCs/>
          <w:sz w:val="32"/>
          <w:szCs w:val="32"/>
        </w:rPr>
        <w:t xml:space="preserve">бенефициарным владельцам и должностным лицам оператора</w:t>
      </w:r>
    </w:p>
    <w:p>
      <w:pPr>
        <w:spacing w:after="240" w:before="200"/>
        <w:jc w:val="center"/>
      </w:pPr>
      <w:r>
        <w:rPr>
          <w:rFonts w:ascii="Arial" w:cs="Arial" w:eastAsia="Arial" w:hAnsi="Arial"/>
          <w:b/>
          <w:bCs/>
          <w:sz w:val="32"/>
          <w:szCs w:val="32"/>
        </w:rPr>
        <w:t xml:space="preserve">обмена виртуальных активов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Акционерами/учредителями/участниками, бенефициарными владельцами и должностными лицами оператора обмена виртуальных активов могут быть физические и юридические лица, резиденты/нерезиденты Кыргызской Республики.</w:t>
      </w:r>
    </w:p>
    <w:p>
      <w:pPr>
        <w:spacing w:after="120"/>
        <w:ind w:firstLine="397"/>
        <w:jc w:val="both"/>
      </w:pPr>
      <w:r>
        <w:rPr>
          <w:rFonts w:ascii="Arial" w:cs="Arial" w:eastAsia="Arial" w:hAnsi="Arial"/>
          <w:sz w:val="24"/>
          <w:szCs w:val="24"/>
        </w:rPr>
        <w:t xml:space="preserve">Сведения об акционерах/учредителях/участниках, бенефициарных владельцах и должностных лицах юридического лица должны быть представлены в анкете согласно приложениям </w:t>
      </w:r>
      <w:hyperlink w:history="1" r:id="rIdkxzhcvpoupueak3y_0ld7">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9paltibupwsiw-jfxgx5h">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6. Не могут быть акционерами/учредителями/участниками, бенефициарными владельцами и должностными лицами оператора обмена виртуальных активов:</w:t>
      </w:r>
    </w:p>
    <w:p>
      <w:pPr>
        <w:spacing w:after="120"/>
        <w:ind w:firstLine="397"/>
        <w:jc w:val="both"/>
      </w:pPr>
      <w:r>
        <w:rPr>
          <w:rFonts w:ascii="Arial" w:cs="Arial" w:eastAsia="Arial" w:hAnsi="Arial"/>
          <w:sz w:val="24"/>
          <w:szCs w:val="24"/>
        </w:rPr>
        <w:t xml:space="preserve">- физические лица, постоянно проживающие в оффшорной зоне, и (или) юридические лица-нерезиденты, зарегистрированные в ней;</w:t>
      </w:r>
    </w:p>
    <w:p>
      <w:pPr>
        <w:spacing w:after="120"/>
        <w:ind w:firstLine="397"/>
        <w:jc w:val="both"/>
      </w:pPr>
      <w:r>
        <w:rPr>
          <w:rFonts w:ascii="Arial" w:cs="Arial" w:eastAsia="Arial" w:hAnsi="Arial"/>
          <w:sz w:val="24"/>
          <w:szCs w:val="24"/>
        </w:rPr>
        <w:t xml:space="preserve">- юридические и физические лица, имеющие счета в банках, расположенных в оффшорных зонах;</w:t>
      </w:r>
    </w:p>
    <w:p>
      <w:pPr>
        <w:spacing w:after="120"/>
        <w:ind w:firstLine="397"/>
        <w:jc w:val="both"/>
      </w:pPr>
      <w:r>
        <w:rPr>
          <w:rFonts w:ascii="Arial" w:cs="Arial" w:eastAsia="Arial" w:hAnsi="Arial"/>
          <w:sz w:val="24"/>
          <w:szCs w:val="24"/>
        </w:rPr>
        <w:t xml:space="preserve">- юридические лица, если их акционер (участник) является физическим лицом, постоянно проживающим в оффшорной зоне;</w:t>
      </w:r>
    </w:p>
    <w:p>
      <w:pPr>
        <w:spacing w:after="120"/>
        <w:ind w:firstLine="397"/>
        <w:jc w:val="both"/>
      </w:pPr>
      <w:r>
        <w:rPr>
          <w:rFonts w:ascii="Arial" w:cs="Arial" w:eastAsia="Arial" w:hAnsi="Arial"/>
          <w:sz w:val="24"/>
          <w:szCs w:val="24"/>
        </w:rPr>
        <w:t xml:space="preserve">- политические партии, профсоюзы и религиозные организации;</w:t>
      </w:r>
    </w:p>
    <w:p>
      <w:pPr>
        <w:spacing w:after="120"/>
        <w:ind w:firstLine="397"/>
        <w:jc w:val="both"/>
      </w:pPr>
      <w:r>
        <w:rPr>
          <w:rFonts w:ascii="Arial" w:cs="Arial" w:eastAsia="Arial" w:hAnsi="Arial"/>
          <w:sz w:val="24"/>
          <w:szCs w:val="24"/>
        </w:rPr>
        <w:t xml:space="preserve">- юридические и физические лица, включенные в санкционный перечень, определенный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юридические и физические лица, в отношении которых имеется негативная информация на основании сведений, предоставляемых государственными органами, осуществляющими борьбу с терроризмом и экстремизмом, незаконным оборотом наркотических и психотропных средств, распространением оружия массового уничтожения, и другими компетентными органами Кыргызской Республики, а также сведений, полученных по официальным каналам от компетентных органов иностранных государств и международных организаций;</w:t>
      </w:r>
    </w:p>
    <w:p>
      <w:pPr>
        <w:spacing w:after="120"/>
        <w:ind w:firstLine="397"/>
        <w:jc w:val="both"/>
      </w:pPr>
      <w:r>
        <w:rPr>
          <w:rFonts w:ascii="Arial" w:cs="Arial" w:eastAsia="Arial" w:hAnsi="Arial"/>
          <w:sz w:val="24"/>
          <w:szCs w:val="24"/>
        </w:rPr>
        <w:t xml:space="preserve">- лица, имеющие непогашенную судимость, в том числе в других государствах;</w:t>
      </w:r>
    </w:p>
    <w:p>
      <w:pPr>
        <w:spacing w:after="120"/>
        <w:ind w:firstLine="397"/>
        <w:jc w:val="both"/>
      </w:pPr>
      <w:r>
        <w:rPr>
          <w:rFonts w:ascii="Arial" w:cs="Arial" w:eastAsia="Arial" w:hAnsi="Arial"/>
          <w:sz w:val="24"/>
          <w:szCs w:val="24"/>
        </w:rPr>
        <w:t xml:space="preserve">- лица, имеющие неисполненное судебное решение по уплате своих финансовых обязательств.</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Должностные лица оператора обмена виртуальных активов подлежат обязательному согласованию с уполномоченным органом.</w:t>
      </w:r>
    </w:p>
    <w:p>
      <w:pPr>
        <w:spacing w:after="120"/>
        <w:ind w:firstLine="397"/>
        <w:jc w:val="both"/>
      </w:pPr>
      <w:r>
        <w:rPr>
          <w:rFonts w:ascii="Arial" w:cs="Arial" w:eastAsia="Arial" w:hAnsi="Arial"/>
          <w:sz w:val="24"/>
          <w:szCs w:val="24"/>
        </w:rPr>
        <w:t xml:space="preserve">Должностными лицами оператора обмена виртуальных активов, кандидатуры которых подлежат согласованию, являются:</w:t>
      </w:r>
    </w:p>
    <w:p>
      <w:pPr>
        <w:spacing w:after="120"/>
        <w:ind w:firstLine="397"/>
        <w:jc w:val="both"/>
      </w:pPr>
      <w:r>
        <w:rPr>
          <w:rFonts w:ascii="Arial" w:cs="Arial" w:eastAsia="Arial" w:hAnsi="Arial"/>
          <w:sz w:val="24"/>
          <w:szCs w:val="24"/>
        </w:rPr>
        <w:t xml:space="preserve">- руководитель и члены совета директоров (при наличии);</w:t>
      </w:r>
    </w:p>
    <w:p>
      <w:pPr>
        <w:spacing w:after="120"/>
        <w:ind w:firstLine="39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p>
    <w:p>
      <w:pPr>
        <w:spacing w:after="120"/>
        <w:ind w:firstLine="397"/>
        <w:jc w:val="both"/>
      </w:pPr>
      <w:r>
        <w:rPr>
          <w:rFonts w:ascii="Arial" w:cs="Arial" w:eastAsia="Arial" w:hAnsi="Arial"/>
          <w:sz w:val="24"/>
          <w:szCs w:val="24"/>
        </w:rPr>
        <w:t xml:space="preserve">- главный бухгалтер или единственный бухгалтер;</w:t>
      </w:r>
    </w:p>
    <w:p>
      <w:pPr>
        <w:spacing w:after="120"/>
        <w:ind w:firstLine="397"/>
        <w:jc w:val="both"/>
      </w:pPr>
      <w:r>
        <w:rPr>
          <w:rFonts w:ascii="Arial" w:cs="Arial" w:eastAsia="Arial" w:hAnsi="Arial"/>
          <w:sz w:val="24"/>
          <w:szCs w:val="24"/>
        </w:rPr>
        <w:t xml:space="preserve">- уполномоченный сотрудник или директор по рискам и комплаенсу.</w:t>
      </w:r>
    </w:p>
    <w:p>
      <w:pPr>
        <w:spacing w:after="120"/>
        <w:ind w:firstLine="397"/>
        <w:jc w:val="both"/>
      </w:pPr>
      <w:r>
        <w:rPr>
          <w:rFonts w:ascii="Arial" w:cs="Arial" w:eastAsia="Arial" w:hAnsi="Arial"/>
          <w:sz w:val="24"/>
          <w:szCs w:val="24"/>
        </w:rPr>
        <w:t xml:space="preserve">Должностное лицо оператора обмена виртуальных активов вправе занимать свою должность без согласования не более 45 календарных дней со дня его назначения (избрания).</w:t>
      </w:r>
    </w:p>
    <w:p>
      <w:pPr>
        <w:spacing w:after="120"/>
        <w:ind w:firstLine="39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обмена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p>
    <w:p>
      <w:pPr>
        <w:spacing w:after="120"/>
        <w:ind w:firstLine="39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обмена виртуальных активов без согласования свыше срока, установленного настоящим пунктом.</w:t>
      </w:r>
    </w:p>
    <w:p>
      <w:pPr>
        <w:spacing w:after="120"/>
        <w:ind w:firstLine="397"/>
        <w:jc w:val="both"/>
      </w:pPr>
      <w:r>
        <w:rPr>
          <w:rFonts w:ascii="Arial" w:cs="Arial" w:eastAsia="Arial" w:hAnsi="Arial"/>
          <w:sz w:val="24"/>
          <w:szCs w:val="24"/>
        </w:rPr>
        <w:t xml:space="preserve">Для согласования должностного лица оператор обмена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397"/>
        <w:jc w:val="both"/>
      </w:pPr>
      <w:r>
        <w:rPr>
          <w:rFonts w:ascii="Arial" w:cs="Arial" w:eastAsia="Arial" w:hAnsi="Arial"/>
          <w:sz w:val="24"/>
          <w:szCs w:val="24"/>
        </w:rPr>
        <w:t xml:space="preserve">- решение об избрании/назначении кандидатуры;</w:t>
      </w:r>
    </w:p>
    <w:p>
      <w:pPr>
        <w:spacing w:after="120"/>
        <w:ind w:firstLine="397"/>
        <w:jc w:val="both"/>
      </w:pPr>
      <w:r>
        <w:rPr>
          <w:rFonts w:ascii="Arial" w:cs="Arial" w:eastAsia="Arial" w:hAnsi="Arial"/>
          <w:sz w:val="24"/>
          <w:szCs w:val="24"/>
        </w:rPr>
        <w:t xml:space="preserve">- удостоверение личности кандидата;</w:t>
      </w:r>
    </w:p>
    <w:p>
      <w:pPr>
        <w:spacing w:after="120"/>
        <w:ind w:firstLine="397"/>
        <w:jc w:val="both"/>
      </w:pPr>
      <w:r>
        <w:rPr>
          <w:rFonts w:ascii="Arial" w:cs="Arial" w:eastAsia="Arial" w:hAnsi="Arial"/>
          <w:sz w:val="24"/>
          <w:szCs w:val="24"/>
        </w:rPr>
        <w:t xml:space="preserve">- оригинал справки об отсутствии судимости;</w:t>
      </w:r>
    </w:p>
    <w:p>
      <w:pPr>
        <w:spacing w:after="120"/>
        <w:ind w:firstLine="397"/>
        <w:jc w:val="both"/>
      </w:pPr>
      <w:r>
        <w:rPr>
          <w:rFonts w:ascii="Arial" w:cs="Arial" w:eastAsia="Arial" w:hAnsi="Arial"/>
          <w:sz w:val="24"/>
          <w:szCs w:val="24"/>
        </w:rPr>
        <w:t xml:space="preserve">- оригинал анкеты кандидата по установленной форме согласно </w:t>
      </w:r>
      <w:hyperlink w:history="1" r:id="rIdajvuu_ers8ouc4sjtsik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Если документы для согласования кандидатуры должностного лица имеются в системе межведомственного электронного взаимодействия "Тундук", то их представление в уполномоченный орган не требуется.</w:t>
      </w:r>
    </w:p>
    <w:p>
      <w:pPr>
        <w:spacing w:after="120"/>
        <w:ind w:firstLine="39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обмена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со дня избрания (назначения) с приложением перечисленных выше документов.</w:t>
      </w:r>
    </w:p>
    <w:p>
      <w:pPr>
        <w:spacing w:after="120"/>
        <w:ind w:firstLine="39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39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39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обмена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397"/>
        <w:jc w:val="both"/>
      </w:pPr>
      <w:r>
        <w:rPr>
          <w:rFonts w:ascii="Arial" w:cs="Arial" w:eastAsia="Arial" w:hAnsi="Arial"/>
          <w:sz w:val="24"/>
          <w:szCs w:val="24"/>
        </w:rPr>
        <w:t xml:space="preserve">В выдаче согласия на назначение (избрание) должностных лиц оператора обмена виртуальных активов отказывается по следующим основаниям:</w:t>
      </w:r>
    </w:p>
    <w:p>
      <w:pPr>
        <w:spacing w:after="120"/>
        <w:ind w:firstLine="397"/>
        <w:jc w:val="both"/>
      </w:pPr>
      <w:r>
        <w:rPr>
          <w:rFonts w:ascii="Arial" w:cs="Arial" w:eastAsia="Arial" w:hAnsi="Arial"/>
          <w:sz w:val="24"/>
          <w:szCs w:val="24"/>
        </w:rPr>
        <w:t xml:space="preserve">- несоответствие должностных лиц требованиям, установленным </w:t>
      </w:r>
      <w:hyperlink w:history="1" r:id="rIdygboe9cl-vxw1zxgawxh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397"/>
        <w:jc w:val="both"/>
      </w:pPr>
      <w:r>
        <w:rPr>
          <w:rFonts w:ascii="Arial" w:cs="Arial" w:eastAsia="Arial" w:hAnsi="Arial"/>
          <w:sz w:val="24"/>
          <w:szCs w:val="24"/>
        </w:rPr>
        <w:t xml:space="preserve">- неустранение оператором обмена виртуальных активов замечаний или представление оператором обмена виртуальных активов доработанных с учетом замечаний документов по истечении установленного настоящим пунктом срока рассмотрения документов;</w:t>
      </w:r>
    </w:p>
    <w:p>
      <w:pPr>
        <w:spacing w:after="120"/>
        <w:ind w:firstLine="39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p>
    <w:p>
      <w:pPr>
        <w:spacing w:after="120"/>
        <w:ind w:firstLine="397"/>
        <w:jc w:val="both"/>
      </w:pPr>
      <w:r>
        <w:rPr>
          <w:rFonts w:ascii="Arial" w:cs="Arial" w:eastAsia="Arial" w:hAnsi="Arial"/>
          <w:sz w:val="24"/>
          <w:szCs w:val="24"/>
        </w:rPr>
        <w:t xml:space="preserve">Выданное согласие на назначение (избрание) должностного лица оператора обмена виртуальных активов отзывается по следующим основаниям:</w:t>
      </w:r>
    </w:p>
    <w:p>
      <w:pPr>
        <w:spacing w:after="120"/>
        <w:ind w:firstLine="39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p>
    <w:p>
      <w:pPr>
        <w:spacing w:after="120"/>
        <w:ind w:firstLine="397"/>
        <w:jc w:val="both"/>
      </w:pPr>
      <w:r>
        <w:rPr>
          <w:rFonts w:ascii="Arial" w:cs="Arial" w:eastAsia="Arial" w:hAnsi="Arial"/>
          <w:sz w:val="24"/>
          <w:szCs w:val="24"/>
        </w:rPr>
        <w:t xml:space="preserve">- систематическое (3 (три) и более раза в течение последних 12 календарных месяцев) применение уполномоченным органом мер воздействия к должностному лицу и/или оператору обмена виртуальных активов, в котором данное должностное лицо занимает (занимал в течение последних 12 календарных месяцев) соответствующую должность;</w:t>
      </w:r>
    </w:p>
    <w:p>
      <w:pPr>
        <w:spacing w:after="120"/>
        <w:ind w:firstLine="397"/>
        <w:jc w:val="both"/>
      </w:pPr>
      <w:r>
        <w:rPr>
          <w:rFonts w:ascii="Arial" w:cs="Arial" w:eastAsia="Arial" w:hAnsi="Arial"/>
          <w:sz w:val="24"/>
          <w:szCs w:val="24"/>
        </w:rPr>
        <w:t xml:space="preserve">- наличие непогашенной судимости.</w:t>
      </w:r>
    </w:p>
    <w:p>
      <w:pPr>
        <w:spacing w:after="120"/>
        <w:ind w:firstLine="397"/>
        <w:jc w:val="both"/>
      </w:pPr>
      <w:r>
        <w:rPr>
          <w:rFonts w:ascii="Arial" w:cs="Arial" w:eastAsia="Arial" w:hAnsi="Arial"/>
          <w:sz w:val="24"/>
          <w:szCs w:val="24"/>
        </w:rPr>
        <w:t xml:space="preserve">В случае отзыва согласия на назначение (избрание) должностного лица оператора обмена виртуальных активов оператор обмена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обмена виртуальных активов должен принять меры по прекращению полномочий данного должностного лица.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Порядок установления отношений с клиентами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Оператор обмена виртуальных активов вправе устанавливать отношения с клиентами, которыми могут быть как резиденты, так и нерезиденты Кыргызской Республики, за исключением случаев, предусмотренных настоящим Положением 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Отношения оператора обмена виртуальных активов с клиентами строятся на договорной основе и/или публичной оферте.</w:t>
      </w:r>
    </w:p>
    <w:p>
      <w:pPr>
        <w:spacing w:after="120"/>
        <w:ind w:firstLine="397"/>
        <w:jc w:val="both"/>
      </w:pPr>
      <w:r>
        <w:rPr>
          <w:rFonts w:ascii="Arial" w:cs="Arial" w:eastAsia="Arial" w:hAnsi="Arial"/>
          <w:sz w:val="24"/>
          <w:szCs w:val="24"/>
        </w:rPr>
        <w:t xml:space="preserve">В договорах и/или публичной оферте, посредством которых устанавливаются отношения с клиентами, оператор обмена виртуальных активов обязан учитывать условия, предусмотренные настоящим Положением, </w:t>
      </w:r>
      <w:hyperlink w:history="1" r:id="rIdqarpypkh-wl6n4gvyqdv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а также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Принятие клиентом публичной оферты должно быть полным и безоговорочным. Совершение клиентом, получившим публичную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законодательством в области гражданского права или не указано в публичной оферте.</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Для установления отношений с клиентом оператор обмена виртуальных активов обязан провести идентификацию или удаленную идентификацию и верификацию, или удаленную верификацию идентификационных данных клиента в соответствии с законодательством в сфере противодействия финансированию преступной деятельности и легализации (отмыванию) преступных доходов и в сфере оборота виртуальных активов.</w:t>
      </w:r>
    </w:p>
    <w:p>
      <w:pPr>
        <w:spacing w:after="120"/>
        <w:ind w:firstLine="397"/>
        <w:jc w:val="both"/>
      </w:pPr>
      <w:r>
        <w:rPr>
          <w:rFonts w:ascii="Arial" w:cs="Arial" w:eastAsia="Arial" w:hAnsi="Arial"/>
          <w:sz w:val="24"/>
          <w:szCs w:val="24"/>
        </w:rPr>
        <w:t xml:space="preserve">Все проверки транзакций клиентов с виртуальными активами в целях соблюдения требований по противодействию финансированию преступной деятельности и легализации (отмыванию) преступных доходов (AML и KYT) в обязательном порядке должны проводиться с использованием информационной системы (программного обеспечения) поставщика AML/KYT-услуг, определенного уполномоченным органом.</w:t>
      </w:r>
    </w:p>
    <w:p>
      <w:pPr>
        <w:spacing w:after="120"/>
        <w:ind w:firstLine="397"/>
        <w:jc w:val="both"/>
      </w:pPr>
      <w:r>
        <w:rPr>
          <w:rFonts w:ascii="Arial" w:cs="Arial" w:eastAsia="Arial" w:hAnsi="Arial"/>
          <w:sz w:val="24"/>
          <w:szCs w:val="24"/>
        </w:rPr>
        <w:t xml:space="preserve">Процентный скоринг определяется уполномоченным органом.</w:t>
      </w:r>
    </w:p>
    <w:p>
      <w:pPr>
        <w:spacing w:after="120"/>
        <w:ind w:firstLine="397"/>
        <w:jc w:val="both"/>
      </w:pPr>
      <w:r>
        <w:rPr>
          <w:rFonts w:ascii="Arial" w:cs="Arial" w:eastAsia="Arial" w:hAnsi="Arial"/>
          <w:sz w:val="24"/>
          <w:szCs w:val="24"/>
        </w:rPr>
        <w:t xml:space="preserve">8. В случае если оператор обмена виртуальных активов предоставляет клиентам возможность создания электронного личного кабинета на своей платформе, оператор обмена виртуальных активов обязан принимать меры по исключению создания одним и тем же клиентом двух и более электронных личных кабинетов.</w:t>
      </w:r>
    </w:p>
    <w:p>
      <w:pPr>
        <w:spacing w:after="120"/>
        <w:ind w:firstLine="397"/>
        <w:jc w:val="both"/>
      </w:pPr>
      <w:r>
        <w:rPr>
          <w:rFonts w:ascii="Arial" w:cs="Arial" w:eastAsia="Arial" w:hAnsi="Arial"/>
          <w:sz w:val="24"/>
          <w:szCs w:val="24"/>
        </w:rPr>
        <w:t xml:space="preserve">9. Оператор обмена виртуальных активов не вправе устанавливать отношения с:</w:t>
      </w:r>
    </w:p>
    <w:p>
      <w:pPr>
        <w:spacing w:after="120"/>
        <w:ind w:firstLine="397"/>
        <w:jc w:val="both"/>
      </w:pPr>
      <w:r>
        <w:rPr>
          <w:rFonts w:ascii="Arial" w:cs="Arial" w:eastAsia="Arial" w:hAnsi="Arial"/>
          <w:sz w:val="24"/>
          <w:szCs w:val="24"/>
        </w:rPr>
        <w:t xml:space="preserve">- физическими лицами, не достигшими 18 лет;</w:t>
      </w:r>
    </w:p>
    <w:p>
      <w:pPr>
        <w:spacing w:after="120"/>
        <w:ind w:firstLine="397"/>
        <w:jc w:val="both"/>
      </w:pPr>
      <w:r>
        <w:rPr>
          <w:rFonts w:ascii="Arial" w:cs="Arial" w:eastAsia="Arial" w:hAnsi="Arial"/>
          <w:sz w:val="24"/>
          <w:szCs w:val="24"/>
        </w:rPr>
        <w:t xml:space="preserve">- нерезидентами Кыргызской Республики, если это противоречит законодательству государства, гражданами (подданными) которого являются нерезиденты Кыргызской Республики и (или) на территории которого они имеют постоянное место жительства в соответствии с видом на жительство (или аналогичным документом) либо местонахождения (учреждены, зарегистрированы);</w:t>
      </w:r>
    </w:p>
    <w:p>
      <w:pPr>
        <w:spacing w:after="120"/>
        <w:ind w:firstLine="397"/>
        <w:jc w:val="both"/>
      </w:pPr>
      <w:r>
        <w:rPr>
          <w:rFonts w:ascii="Arial" w:cs="Arial" w:eastAsia="Arial" w:hAnsi="Arial"/>
          <w:sz w:val="24"/>
          <w:szCs w:val="24"/>
        </w:rPr>
        <w:t xml:space="preserve">- физическими лицами, индивидуальными предпринимателями, юридическими лицами, а также юридическими лицами, бенефициарные владельцы которых включены в санкционный перечень, определенный законодательством в сфере противодействия финансированию террористической деятельности и легализации (отмыванию) преступных доходов, а также противодействия финансированию экстремистской деятельности и финансированию распространения оружия массового уничтожения;</w:t>
      </w:r>
    </w:p>
    <w:p>
      <w:pPr>
        <w:spacing w:after="120"/>
        <w:ind w:firstLine="397"/>
        <w:jc w:val="both"/>
      </w:pPr>
      <w:r>
        <w:rPr>
          <w:rFonts w:ascii="Arial" w:cs="Arial" w:eastAsia="Arial" w:hAnsi="Arial"/>
          <w:sz w:val="24"/>
          <w:szCs w:val="24"/>
        </w:rPr>
        <w:t xml:space="preserve">- иными лицами, если это предусмотрено договорными обязательствами оператора обмена виртуальных активов или локальными актами оператора обмена виртуальных активов.</w:t>
      </w:r>
    </w:p>
    <w:p>
      <w:pPr>
        <w:spacing w:after="120"/>
        <w:ind w:firstLine="397"/>
        <w:jc w:val="both"/>
      </w:pPr>
      <w:r>
        <w:rPr>
          <w:rFonts w:ascii="Arial" w:cs="Arial" w:eastAsia="Arial" w:hAnsi="Arial"/>
          <w:sz w:val="24"/>
          <w:szCs w:val="24"/>
        </w:rPr>
        <w:t xml:space="preserve">10. До совершения с гражданами Кыргызской Республики сделок по продаже им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обмена виртуальных активов обязан убедиться в том, что они обладают достаточным уровнем знаний (компетентности) для совершения таких сделок. Оператор обмена виртуальных активов не вправе совершать названные сделки с теми гражданами Кыргызской Республики, в отношении которых он установил, что они таким уровнем знаний (компетентности) не обладают.</w:t>
      </w:r>
    </w:p>
    <w:p>
      <w:pPr>
        <w:spacing w:after="120"/>
        <w:ind w:firstLine="397"/>
        <w:jc w:val="both"/>
      </w:pPr>
      <w:r>
        <w:rPr>
          <w:rFonts w:ascii="Arial" w:cs="Arial" w:eastAsia="Arial" w:hAnsi="Arial"/>
          <w:sz w:val="24"/>
          <w:szCs w:val="24"/>
        </w:rPr>
        <w:t xml:space="preserve">Определение уровня знаний (компетентности) для совершения сделок, указанных в абзаце первом настоящего пункта, производится оператором обмена виртуальных активов посредством представления гражданам Кыргызской Республики вопросника (теста) для заполнения (решения).</w:t>
      </w:r>
    </w:p>
    <w:p>
      <w:pPr>
        <w:spacing w:after="120"/>
        <w:ind w:firstLine="39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p>
    <w:p>
      <w:pPr>
        <w:spacing w:after="120"/>
        <w:ind w:firstLine="39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(тридцати) календарных дней со дня регистрации уведомления информирует оператора обмена виртуальных активов о необходимости проработки вопросника (теста).</w:t>
      </w:r>
    </w:p>
    <w:p>
      <w:pPr>
        <w:spacing w:after="120"/>
        <w:ind w:firstLine="397"/>
        <w:jc w:val="both"/>
      </w:pPr>
      <w:r>
        <w:rPr>
          <w:rFonts w:ascii="Arial" w:cs="Arial" w:eastAsia="Arial" w:hAnsi="Arial"/>
          <w:sz w:val="24"/>
          <w:szCs w:val="24"/>
        </w:rPr>
        <w:t xml:space="preserve">Оператор обмена виртуальных активов должен информировать клиента о рисках при осуществлении сделок с виртуальными активами.</w:t>
      </w:r>
    </w:p>
    <w:p>
      <w:pPr>
        <w:spacing w:after="120"/>
        <w:ind w:firstLine="397"/>
        <w:jc w:val="both"/>
      </w:pPr>
      <w:r>
        <w:rPr>
          <w:rFonts w:ascii="Arial" w:cs="Arial" w:eastAsia="Arial" w:hAnsi="Arial"/>
          <w:sz w:val="24"/>
          <w:szCs w:val="24"/>
        </w:rPr>
        <w:t xml:space="preserve">11. Оператор обмена виртуальных активов обязан обеспечить хранение документов по идентификации и верификации клиента, в том числе удаленной идентификации и верификации клиента, соответствующих анкет клиента, договора, а в случае, если клиент юридическое лицо - учредительных документов, свидетельства о регистрации, а также документов, полученных в ходе определения уровня знаний (компетентности), предусмотренного в пункте 10 настоящего Положения, не менее 5 (пять) лет с даты получения таких документов.</w:t>
      </w:r>
    </w:p>
    <w:p>
      <w:pPr>
        <w:spacing w:after="120"/>
        <w:ind w:firstLine="397"/>
        <w:jc w:val="both"/>
      </w:pPr>
      <w:r>
        <w:rPr>
          <w:rFonts w:ascii="Arial" w:cs="Arial" w:eastAsia="Arial" w:hAnsi="Arial"/>
          <w:sz w:val="24"/>
          <w:szCs w:val="24"/>
        </w:rPr>
        <w:t xml:space="preserve">12. Оператор обмена виртуальных активов вправе определить критерии, которым должны соответствовать нерезиденты Кыргызской Республики, а также юридические лица Кыргызской Республики для установления с ними отношений (в том числе требования к финансовому состоянию и репутации).</w:t>
      </w:r>
    </w:p>
    <w:p>
      <w:pPr>
        <w:spacing w:after="120"/>
        <w:ind w:firstLine="397"/>
        <w:jc w:val="both"/>
      </w:pPr>
      <w:r>
        <w:rPr>
          <w:rFonts w:ascii="Arial" w:cs="Arial" w:eastAsia="Arial" w:hAnsi="Arial"/>
          <w:sz w:val="24"/>
          <w:szCs w:val="24"/>
        </w:rPr>
        <w:t xml:space="preserve">Установленные оператором обмена виртуальных активов критерии должны соответствовать требованиям законодательства Кыргызской Республики в части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13. Оператор обмена виртуальных активов обязан:</w:t>
      </w:r>
    </w:p>
    <w:p>
      <w:pPr>
        <w:spacing w:after="120"/>
        <w:ind w:firstLine="397"/>
        <w:jc w:val="both"/>
      </w:pPr>
      <w:r>
        <w:rPr>
          <w:rFonts w:ascii="Arial" w:cs="Arial" w:eastAsia="Arial" w:hAnsi="Arial"/>
          <w:sz w:val="24"/>
          <w:szCs w:val="24"/>
        </w:rPr>
        <w:t xml:space="preserve">- производить звукозапись (видеозапись) переговоров с клиентами, осуществляемых с использованием средств связи (с обязательным предварительным уведомлением об этом клиента);</w:t>
      </w:r>
    </w:p>
    <w:p>
      <w:pPr>
        <w:spacing w:after="120"/>
        <w:ind w:firstLine="397"/>
        <w:jc w:val="both"/>
      </w:pPr>
      <w:r>
        <w:rPr>
          <w:rFonts w:ascii="Arial" w:cs="Arial" w:eastAsia="Arial" w:hAnsi="Arial"/>
          <w:sz w:val="24"/>
          <w:szCs w:val="24"/>
        </w:rPr>
        <w:t xml:space="preserve">- хранить данные звукозаписи (видеозаписи) и всю переписку с клиентами в течение не менее 5 календарных лет с даты осуществления (возникновения) таких звукозаписей (видеозаписей) и переписки;</w:t>
      </w:r>
    </w:p>
    <w:p>
      <w:pPr>
        <w:spacing w:after="120"/>
        <w:ind w:firstLine="397"/>
        <w:jc w:val="both"/>
      </w:pPr>
      <w:r>
        <w:rPr>
          <w:rFonts w:ascii="Arial" w:cs="Arial" w:eastAsia="Arial" w:hAnsi="Arial"/>
          <w:sz w:val="24"/>
          <w:szCs w:val="24"/>
        </w:rPr>
        <w:t xml:space="preserve">- осуществлять резервное копирование всех данных о совершенных клиентами сделках (операциях) по завершении каждого рабочего дня;</w:t>
      </w:r>
    </w:p>
    <w:p>
      <w:pPr>
        <w:spacing w:after="120"/>
        <w:ind w:firstLine="397"/>
        <w:jc w:val="both"/>
      </w:pPr>
      <w:r>
        <w:rPr>
          <w:rFonts w:ascii="Arial" w:cs="Arial" w:eastAsia="Arial" w:hAnsi="Arial"/>
          <w:sz w:val="24"/>
          <w:szCs w:val="24"/>
        </w:rPr>
        <w:t xml:space="preserve">- обеспечивать своевременное исполнение заявок клиентов на покупку и (или)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в соответствии с настоящим Положением (при наличии возможности исполнить такие заявки);</w:t>
      </w:r>
    </w:p>
    <w:p>
      <w:pPr>
        <w:spacing w:after="120"/>
        <w:ind w:firstLine="397"/>
        <w:jc w:val="both"/>
      </w:pPr>
      <w:r>
        <w:rPr>
          <w:rFonts w:ascii="Arial" w:cs="Arial" w:eastAsia="Arial" w:hAnsi="Arial"/>
          <w:sz w:val="24"/>
          <w:szCs w:val="24"/>
        </w:rPr>
        <w:t xml:space="preserve">- принимать меры по обеспечению знания работниками оператора обмена виртуальных активов и лицами, привлеченными им по гражданско-правовым договорам, которые непосредственно вовлечены в осуществление деятельности оператора обмена виртуальных активов, законов в сфере оборота виртуальных активов, его локальных нормативных правовых актов, а также настоящего Положения;</w:t>
      </w:r>
    </w:p>
    <w:p>
      <w:pPr>
        <w:spacing w:after="120"/>
        <w:ind w:firstLine="397"/>
        <w:jc w:val="both"/>
      </w:pPr>
      <w:r>
        <w:rPr>
          <w:rFonts w:ascii="Arial" w:cs="Arial" w:eastAsia="Arial" w:hAnsi="Arial"/>
          <w:sz w:val="24"/>
          <w:szCs w:val="24"/>
        </w:rPr>
        <w:t xml:space="preserve">- выполнять другие требования, предусмотренные </w:t>
      </w:r>
      <w:hyperlink w:history="1" r:id="rIdeo4-dtxktu9540q8ty4q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а также настоящим Положением.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Требования к рекламе и информированию клиентов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Оператор обмена виртуальных активов обязан соблюдать требования к рекламе виртуальных активов и своей деятельности (в том числе побуждающей совершать через него сделки (операции) с виртуальными активами), предусмотренные </w:t>
      </w:r>
      <w:hyperlink w:history="1" r:id="rIds_z35exdw3n1_risyk_g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и настоящим Положением, и обеспечивать их реализацию.</w:t>
      </w:r>
    </w:p>
    <w:p>
      <w:pPr>
        <w:spacing w:after="120"/>
        <w:ind w:firstLine="397"/>
        <w:jc w:val="both"/>
      </w:pPr>
      <w:r>
        <w:rPr>
          <w:rFonts w:ascii="Arial" w:cs="Arial" w:eastAsia="Arial" w:hAnsi="Arial"/>
          <w:sz w:val="24"/>
          <w:szCs w:val="24"/>
        </w:rPr>
        <w:t xml:space="preserve">15. Настоящим Положением определяются следующие требования к рекламе виртуальных активов и деятельности оператора обмена виртуальных активов, размещаемой (распространяемой) на территории Кыргызской Республики (в том числе с привлечением третьих лиц):</w:t>
      </w:r>
    </w:p>
    <w:p>
      <w:pPr>
        <w:spacing w:after="120"/>
        <w:ind w:firstLine="397"/>
        <w:jc w:val="both"/>
      </w:pPr>
      <w:r>
        <w:rPr>
          <w:rFonts w:ascii="Arial" w:cs="Arial" w:eastAsia="Arial" w:hAnsi="Arial"/>
          <w:sz w:val="24"/>
          <w:szCs w:val="24"/>
        </w:rPr>
        <w:t xml:space="preserve">- реклама должна быть ясной, добросовестной и не вводящей в заблуждение;</w:t>
      </w:r>
    </w:p>
    <w:p>
      <w:pPr>
        <w:spacing w:after="120"/>
        <w:ind w:firstLine="397"/>
        <w:jc w:val="both"/>
      </w:pPr>
      <w:r>
        <w:rPr>
          <w:rFonts w:ascii="Arial" w:cs="Arial" w:eastAsia="Arial" w:hAnsi="Arial"/>
          <w:sz w:val="24"/>
          <w:szCs w:val="24"/>
        </w:rPr>
        <w:t xml:space="preserve">- в рекламе должно быть размещено предупреждение о рисках, которым подвергаются лица, приобретающие виртуальные активы, в котором указано на то, что виртуальные активы не являются средством платежа, не обеспечиваются государством и приобретение виртуальных активов может привести к полной потере денежных средств и иных объектов гражданских прав, переданных в обмен на виртуальные активы (в том числе в результате волатильности стоимости виртуальных активов, технических сбоев (ошибок); совершения противоправных действий, включая хищение);</w:t>
      </w:r>
    </w:p>
    <w:p>
      <w:pPr>
        <w:spacing w:after="120"/>
        <w:ind w:firstLine="397"/>
        <w:jc w:val="both"/>
      </w:pPr>
      <w:r>
        <w:rPr>
          <w:rFonts w:ascii="Arial" w:cs="Arial" w:eastAsia="Arial" w:hAnsi="Arial"/>
          <w:sz w:val="24"/>
          <w:szCs w:val="24"/>
        </w:rPr>
        <w:t xml:space="preserve">- в рекламе должны раскрываться источник и форма вознаграждения, уплачиваемого распространителю рекламы, а также лицу, которое непосредственно доносит рекламу до потребителей такой рекламы, и лицу, которое изображено в данной рекламе (либо в случае безвозмездного характера соответствующих отношений должно констатироваться отсутствие вознаграждения);</w:t>
      </w:r>
    </w:p>
    <w:p>
      <w:pPr>
        <w:spacing w:after="120"/>
        <w:ind w:firstLine="397"/>
        <w:jc w:val="both"/>
      </w:pPr>
      <w:r>
        <w:rPr>
          <w:rFonts w:ascii="Arial" w:cs="Arial" w:eastAsia="Arial" w:hAnsi="Arial"/>
          <w:sz w:val="24"/>
          <w:szCs w:val="24"/>
        </w:rPr>
        <w:t xml:space="preserve">- если в рекламе содержится информация о прошлых результатах, прогнозируемых результатах или предполагаемых ожидаемых результатах, она должна быть ясной и недвусмысленно раскрывать суть таких данных, время, в котором данные события имели место быть, и степень вероятности выводов, основанных на них, с соблюдением требований законодательства о рекламе;</w:t>
      </w:r>
    </w:p>
    <w:p>
      <w:pPr>
        <w:spacing w:after="120"/>
        <w:ind w:firstLine="397"/>
        <w:jc w:val="both"/>
      </w:pPr>
      <w:r>
        <w:rPr>
          <w:rFonts w:ascii="Arial" w:cs="Arial" w:eastAsia="Arial" w:hAnsi="Arial"/>
          <w:sz w:val="24"/>
          <w:szCs w:val="24"/>
        </w:rPr>
        <w:t xml:space="preserve">- содержание рекламы, включающей оферту, должно предусматривать все условия предлагаемого к заключению договора, а также описание действий, которые приводят к акцепту данной оферты;</w:t>
      </w:r>
    </w:p>
    <w:p>
      <w:pPr>
        <w:spacing w:after="120"/>
        <w:ind w:firstLine="397"/>
        <w:jc w:val="both"/>
      </w:pPr>
      <w:r>
        <w:rPr>
          <w:rFonts w:ascii="Arial" w:cs="Arial" w:eastAsia="Arial" w:hAnsi="Arial"/>
          <w:sz w:val="24"/>
          <w:szCs w:val="24"/>
        </w:rPr>
        <w:t xml:space="preserve">- при упоминании в рекламе налоговых льгот (в случае таковых) данные льготы должны быть детальным образом описаны.</w:t>
      </w:r>
    </w:p>
    <w:p>
      <w:pPr>
        <w:spacing w:after="120"/>
        <w:ind w:firstLine="397"/>
        <w:jc w:val="both"/>
      </w:pPr>
      <w:r>
        <w:rPr>
          <w:rFonts w:ascii="Arial" w:cs="Arial" w:eastAsia="Arial" w:hAnsi="Arial"/>
          <w:sz w:val="24"/>
          <w:szCs w:val="24"/>
        </w:rPr>
        <w:t xml:space="preserve">16. Реклама не должна содержать (в рекламе не должны использоваться) обещание или гарантию будущей эффективности (доходности) деятельности, связанной с использованием виртуальных активов, или самих виртуальных активов.</w:t>
      </w:r>
    </w:p>
    <w:p>
      <w:pPr>
        <w:spacing w:after="120"/>
        <w:ind w:firstLine="397"/>
        <w:jc w:val="both"/>
      </w:pPr>
      <w:r>
        <w:rPr>
          <w:rFonts w:ascii="Arial" w:cs="Arial" w:eastAsia="Arial" w:hAnsi="Arial"/>
          <w:sz w:val="24"/>
          <w:szCs w:val="24"/>
        </w:rPr>
        <w:t xml:space="preserve">Использование в рекламе сведений об эффективности (доходности) деятельности, связанной с использованием виртуальных активов, или самих виртуальных активов допускается при наличии у оператора обмена виртуальных активов соответствующих данных финансовой отчетности за последний завершенный финансовый год, достоверность которых подтверждена аудиторской организацией.</w:t>
      </w:r>
    </w:p>
    <w:p>
      <w:pPr>
        <w:spacing w:after="120"/>
        <w:ind w:firstLine="397"/>
        <w:jc w:val="both"/>
      </w:pPr>
      <w:r>
        <w:rPr>
          <w:rFonts w:ascii="Arial" w:cs="Arial" w:eastAsia="Arial" w:hAnsi="Arial"/>
          <w:sz w:val="24"/>
          <w:szCs w:val="24"/>
        </w:rPr>
        <w:t xml:space="preserve">В рекламе запрещается использовать:</w:t>
      </w:r>
    </w:p>
    <w:p>
      <w:pPr>
        <w:spacing w:after="120"/>
        <w:ind w:firstLine="397"/>
        <w:jc w:val="both"/>
      </w:pPr>
      <w:r>
        <w:rPr>
          <w:rFonts w:ascii="Arial" w:cs="Arial" w:eastAsia="Arial" w:hAnsi="Arial"/>
          <w:sz w:val="24"/>
          <w:szCs w:val="24"/>
        </w:rPr>
        <w:t xml:space="preserve">- информацию о предметах роскоши, бонусах и скидках;</w:t>
      </w:r>
    </w:p>
    <w:p>
      <w:pPr>
        <w:spacing w:after="120"/>
        <w:ind w:firstLine="397"/>
        <w:jc w:val="both"/>
      </w:pPr>
      <w:r>
        <w:rPr>
          <w:rFonts w:ascii="Arial" w:cs="Arial" w:eastAsia="Arial" w:hAnsi="Arial"/>
          <w:sz w:val="24"/>
          <w:szCs w:val="24"/>
        </w:rPr>
        <w:t xml:space="preserve">- информацию о совершении сделок с виртуальными активами как о легком способе обогащения;</w:t>
      </w:r>
    </w:p>
    <w:p>
      <w:pPr>
        <w:spacing w:after="120"/>
        <w:ind w:firstLine="397"/>
        <w:jc w:val="both"/>
      </w:pPr>
      <w:r>
        <w:rPr>
          <w:rFonts w:ascii="Arial" w:cs="Arial" w:eastAsia="Arial" w:hAnsi="Arial"/>
          <w:sz w:val="24"/>
          <w:szCs w:val="24"/>
        </w:rPr>
        <w:t xml:space="preserve">- утверждения о том, что совершение сделок с виртуальными активами имеет важное значение для достижения общественного признания, профессионального или личного успеха;</w:t>
      </w:r>
    </w:p>
    <w:p>
      <w:pPr>
        <w:spacing w:after="120"/>
        <w:ind w:firstLine="397"/>
        <w:jc w:val="both"/>
      </w:pPr>
      <w:r>
        <w:rPr>
          <w:rFonts w:ascii="Arial" w:cs="Arial" w:eastAsia="Arial" w:hAnsi="Arial"/>
          <w:sz w:val="24"/>
          <w:szCs w:val="24"/>
        </w:rPr>
        <w:t xml:space="preserve">- образы несовершеннолетних лиц;</w:t>
      </w:r>
    </w:p>
    <w:p>
      <w:pPr>
        <w:spacing w:after="120"/>
        <w:ind w:firstLine="397"/>
        <w:jc w:val="both"/>
      </w:pPr>
      <w:r>
        <w:rPr>
          <w:rFonts w:ascii="Arial" w:cs="Arial" w:eastAsia="Arial" w:hAnsi="Arial"/>
          <w:sz w:val="24"/>
          <w:szCs w:val="24"/>
        </w:rPr>
        <w:t xml:space="preserve">- высказывания, которые преувеличивают вероятность получения дохода в результате совершения сделок с виртуальными активами или преуменьшают степень риска полной утраты (потери) денег и иных объектов гражданских прав, переданных в оплату виртуальных активов или в обмен на виртуальные активы;</w:t>
      </w:r>
    </w:p>
    <w:p>
      <w:pPr>
        <w:spacing w:after="120"/>
        <w:ind w:firstLine="397"/>
        <w:jc w:val="both"/>
      </w:pPr>
      <w:r>
        <w:rPr>
          <w:rFonts w:ascii="Arial" w:cs="Arial" w:eastAsia="Arial" w:hAnsi="Arial"/>
          <w:sz w:val="24"/>
          <w:szCs w:val="24"/>
        </w:rPr>
        <w:t xml:space="preserve">- высказывания, осуждающие неучастие в общественных отношениях, связанных с использованием виртуальных активов.</w:t>
      </w:r>
    </w:p>
    <w:p>
      <w:pPr>
        <w:spacing w:after="120"/>
        <w:ind w:firstLine="397"/>
        <w:jc w:val="both"/>
      </w:pPr>
      <w:r>
        <w:rPr>
          <w:rFonts w:ascii="Arial" w:cs="Arial" w:eastAsia="Arial" w:hAnsi="Arial"/>
          <w:sz w:val="24"/>
          <w:szCs w:val="24"/>
        </w:rPr>
        <w:t xml:space="preserve">17. Оператор обмена виртуальных активов обязан обеспечить получение предварительного письменного согласования текста рекламы виртуальных активов от руководителя уполномоченного органа в сфере регулирования виртуальных активов.</w:t>
      </w:r>
    </w:p>
    <w:p>
      <w:pPr>
        <w:spacing w:after="120"/>
        <w:ind w:firstLine="397"/>
        <w:jc w:val="both"/>
      </w:pPr>
      <w:r>
        <w:rPr>
          <w:rFonts w:ascii="Arial" w:cs="Arial" w:eastAsia="Arial" w:hAnsi="Arial"/>
          <w:sz w:val="24"/>
          <w:szCs w:val="24"/>
        </w:rPr>
        <w:t xml:space="preserve">18. Оператор обмена виртуальных активов обязан обеспечить сообщение клиентам информации, при этом внимание клиента должно быть привлечено к сроку исполнения заявок клиентов на покупку и (или) продажу виртуальных активов за деньги или электронные деньги либо обмен виртуальных активов одного вида на виртуальные активы другого вида, а также порядку изменения и прекращения договора оператором обмена виртуальных активов в одностороннем порядке (если такой порядок предусмотрен в договоре).</w:t>
      </w:r>
    </w:p>
    <w:p>
      <w:pPr>
        <w:spacing w:after="120"/>
        <w:ind w:firstLine="397"/>
        <w:jc w:val="both"/>
      </w:pPr>
      <w:r>
        <w:rPr>
          <w:rFonts w:ascii="Arial" w:cs="Arial" w:eastAsia="Arial" w:hAnsi="Arial"/>
          <w:sz w:val="24"/>
          <w:szCs w:val="24"/>
        </w:rPr>
        <w:t xml:space="preserve">Оператор обмена виртуальных активов до совершения с ним соответствующей сделки обязан довести до сведения клиента:</w:t>
      </w:r>
    </w:p>
    <w:p>
      <w:pPr>
        <w:spacing w:after="120"/>
        <w:ind w:firstLine="397"/>
        <w:jc w:val="both"/>
      </w:pPr>
      <w:r>
        <w:rPr>
          <w:rFonts w:ascii="Arial" w:cs="Arial" w:eastAsia="Arial" w:hAnsi="Arial"/>
          <w:sz w:val="24"/>
          <w:szCs w:val="24"/>
        </w:rPr>
        <w:t xml:space="preserve">- о рисках, которым подвергаются лица, приобретающие виртуальные активы, с указанием на то, что виртуальные активы не являются средством платежа, не обеспечиваются государством и приобретение виртуальных активов может привести к полной потере денежных средств и иных объектов гражданских прав (инвестиций), переданных в обмен на виртуальные активы (в том числе в результате волатильности стоимости виртуальных активов, технических сбоев (ошибок), совершения противоправных действий, включая хищение);</w:t>
      </w:r>
    </w:p>
    <w:p>
      <w:pPr>
        <w:spacing w:after="120"/>
        <w:ind w:firstLine="397"/>
        <w:jc w:val="both"/>
      </w:pPr>
      <w:r>
        <w:rPr>
          <w:rFonts w:ascii="Arial" w:cs="Arial" w:eastAsia="Arial" w:hAnsi="Arial"/>
          <w:sz w:val="24"/>
          <w:szCs w:val="24"/>
        </w:rPr>
        <w:t xml:space="preserve">- о том, что объектом сделки, планируемой к совершению оператором обмена виртуальных активов, выступают обеспеченные или необеспеченные виртуальные активы, которые были размещены (не в части эмиссии) на его платформе.</w:t>
      </w:r>
    </w:p>
    <w:p>
      <w:pPr>
        <w:spacing w:after="120"/>
        <w:ind w:firstLine="397"/>
        <w:jc w:val="both"/>
      </w:pPr>
      <w:r>
        <w:rPr>
          <w:rFonts w:ascii="Arial" w:cs="Arial" w:eastAsia="Arial" w:hAnsi="Arial"/>
          <w:sz w:val="24"/>
          <w:szCs w:val="24"/>
        </w:rPr>
        <w:t xml:space="preserve">19. Информация, которая должна быть доведена каждому клиенту в отдельности (с получением оператором обмена виртуальных активов подтверждения факта ознакомления клиента с ней), должна быть в доступной для клиента форме (текст должен быть четким и легко воспринимаемым, в том числе быть представленным в логически структурированном виде и без использования в нем сложных для восприятия словесных конструкций, в легко читаемом размере шрифта).</w:t>
      </w:r>
    </w:p>
    <w:p>
      <w:pPr>
        <w:spacing w:after="120"/>
        <w:ind w:firstLine="397"/>
        <w:jc w:val="both"/>
      </w:pPr>
      <w:r>
        <w:rPr>
          <w:rFonts w:ascii="Arial" w:cs="Arial" w:eastAsia="Arial" w:hAnsi="Arial"/>
          <w:sz w:val="24"/>
          <w:szCs w:val="24"/>
        </w:rPr>
        <w:t xml:space="preserve">Посредством изложения текстом, исключающим различное толкование (должны быть даны понятные определения) до установления отношений с клиентом независимо от того, сообщалась ли такая информация в рекламе о деятельности оператора обмена виртуальных активов.</w:t>
      </w:r>
    </w:p>
    <w:p>
      <w:pPr>
        <w:spacing w:after="120"/>
        <w:ind w:firstLine="397"/>
        <w:jc w:val="both"/>
      </w:pPr>
      <w:r>
        <w:rPr>
          <w:rFonts w:ascii="Arial" w:cs="Arial" w:eastAsia="Arial" w:hAnsi="Arial"/>
          <w:sz w:val="24"/>
          <w:szCs w:val="24"/>
        </w:rPr>
        <w:t xml:space="preserve">Информация должна быть размещена на главной странице соответствующего сайта оператора обмена виртуальных активов или на отдельной странице этого сайта с принятием мер по привлечению к ней внимания посетителей данного сайта.</w:t>
      </w:r>
    </w:p>
    <w:p>
      <w:pPr>
        <w:spacing w:after="120"/>
        <w:ind w:firstLine="397"/>
        <w:jc w:val="both"/>
      </w:pPr>
      <w:r>
        <w:rPr>
          <w:rFonts w:ascii="Arial" w:cs="Arial" w:eastAsia="Arial" w:hAnsi="Arial"/>
          <w:sz w:val="24"/>
          <w:szCs w:val="24"/>
        </w:rPr>
        <w:t xml:space="preserve">Оператор обмена виртуальных активов не вправе предоставлять клиентам консультации, которые могут побудить клиентов приобретать или реализовывать конкретные виды виртуальных активов.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совершения оператором обмена виртуальных</w:t>
      </w:r>
    </w:p>
    <w:p>
      <w:pPr>
        <w:spacing w:after="240" w:before="200"/>
        <w:jc w:val="center"/>
      </w:pPr>
      <w:r>
        <w:rPr>
          <w:rFonts w:ascii="Arial" w:cs="Arial" w:eastAsia="Arial" w:hAnsi="Arial"/>
          <w:b/>
          <w:bCs/>
          <w:sz w:val="32"/>
          <w:szCs w:val="32"/>
        </w:rPr>
        <w:t xml:space="preserve">активов сделок с виртуальными активами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Оператор обмена виртуальных активов совершает следующие сделки с виртуальными активами:</w:t>
      </w:r>
    </w:p>
    <w:p>
      <w:pPr>
        <w:spacing w:after="120"/>
        <w:ind w:firstLine="397"/>
        <w:jc w:val="both"/>
      </w:pPr>
      <w:r>
        <w:rPr>
          <w:rFonts w:ascii="Arial" w:cs="Arial" w:eastAsia="Arial" w:hAnsi="Arial"/>
          <w:sz w:val="24"/>
          <w:szCs w:val="24"/>
        </w:rPr>
        <w:t xml:space="preserve">- покупка виртуальных активов за национальную валюту, иностранную валюту, электронные деньги, в том числе международные электронные деньги;</w:t>
      </w:r>
    </w:p>
    <w:p>
      <w:pPr>
        <w:spacing w:after="120"/>
        <w:ind w:firstLine="397"/>
        <w:jc w:val="both"/>
      </w:pPr>
      <w:r>
        <w:rPr>
          <w:rFonts w:ascii="Arial" w:cs="Arial" w:eastAsia="Arial" w:hAnsi="Arial"/>
          <w:sz w:val="24"/>
          <w:szCs w:val="24"/>
        </w:rPr>
        <w:t xml:space="preserve">- продажа виртуальных активов за национальную валюту, иностранную валюту, электронные деньги, в том числе международные электронные деньги;</w:t>
      </w:r>
    </w:p>
    <w:p>
      <w:pPr>
        <w:spacing w:after="120"/>
        <w:ind w:firstLine="397"/>
        <w:jc w:val="both"/>
      </w:pPr>
      <w:r>
        <w:rPr>
          <w:rFonts w:ascii="Arial" w:cs="Arial" w:eastAsia="Arial" w:hAnsi="Arial"/>
          <w:sz w:val="24"/>
          <w:szCs w:val="24"/>
        </w:rPr>
        <w:t xml:space="preserve">- обмен виртуальных активов одного вида на виртуальные активы другого вида.</w:t>
      </w:r>
    </w:p>
    <w:p>
      <w:pPr>
        <w:spacing w:after="120"/>
        <w:ind w:firstLine="397"/>
        <w:jc w:val="both"/>
      </w:pPr>
      <w:r>
        <w:rPr>
          <w:rFonts w:ascii="Arial" w:cs="Arial" w:eastAsia="Arial" w:hAnsi="Arial"/>
          <w:sz w:val="24"/>
          <w:szCs w:val="24"/>
        </w:rPr>
        <w:t xml:space="preserve">21. Сделки с виртуальными активами совершаются оператором обмена виртуальных активов от собственного имени и в своих интересах с использованием специализированной платформы (информационных систем и (или) программно-технических комплексов, работающих в режиме самообслуживания). Операционные требования к специализированной платформе оператора обмена виртуальных активов утверждаются приказом уполномоченного органа.</w:t>
      </w:r>
    </w:p>
    <w:p>
      <w:pPr>
        <w:spacing w:after="120"/>
        <w:ind w:firstLine="397"/>
        <w:jc w:val="both"/>
      </w:pPr>
      <w:r>
        <w:rPr>
          <w:rFonts w:ascii="Arial" w:cs="Arial" w:eastAsia="Arial" w:hAnsi="Arial"/>
          <w:sz w:val="24"/>
          <w:szCs w:val="24"/>
        </w:rPr>
        <w:t xml:space="preserve">Для совершения сделки с виртуальными активами оператор обмена виртуальных активов получает от клиентов заявки на покупку и/или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которые в том числе могут являться офертами.</w:t>
      </w:r>
    </w:p>
    <w:p>
      <w:pPr>
        <w:spacing w:after="120"/>
        <w:ind w:firstLine="397"/>
        <w:jc w:val="both"/>
      </w:pPr>
      <w:r>
        <w:rPr>
          <w:rFonts w:ascii="Arial" w:cs="Arial" w:eastAsia="Arial" w:hAnsi="Arial"/>
          <w:sz w:val="24"/>
          <w:szCs w:val="24"/>
        </w:rPr>
        <w:t xml:space="preserve">Требования к содержанию заявок должны соответствовать законодательству Кыргызской Республики и определяются внутренними документами оператора обмена виртуальных активов, в которых должны быть четко определены условия их принятия, исполнения и расчетов. При наличии возможности исполнить заявку, отвечающую указанным требованиям, оператор обмена виртуальных активов обязан принять ее и исполнить.</w:t>
      </w:r>
    </w:p>
    <w:p>
      <w:pPr>
        <w:spacing w:after="120"/>
        <w:ind w:firstLine="397"/>
        <w:jc w:val="both"/>
      </w:pPr>
      <w:r>
        <w:rPr>
          <w:rFonts w:ascii="Arial" w:cs="Arial" w:eastAsia="Arial" w:hAnsi="Arial"/>
          <w:sz w:val="24"/>
          <w:szCs w:val="24"/>
        </w:rPr>
        <w:t xml:space="preserve">Исполнение заявки должно производиться оператором обмена виртуальных активов после ее получения и по той цене, которая была сообщена клиенту в день направления клиентом соответствующей заявки и согласно договорным отношениям с клиентом. Оператор обмена виртуальных активов обязан обеспечить фиксацию времени наступления данного момента с точностью до минут и отправление клиенту электронного уведомления и/или документа, предусматривающего фиксацию даты, времени, курса покупки, продажи и/или обмена виртуального актива, суммы и объема сделки.</w:t>
      </w:r>
    </w:p>
    <w:p>
      <w:pPr>
        <w:spacing w:after="120"/>
        <w:ind w:firstLine="397"/>
        <w:jc w:val="both"/>
      </w:pPr>
      <w:r>
        <w:rPr>
          <w:rFonts w:ascii="Arial" w:cs="Arial" w:eastAsia="Arial" w:hAnsi="Arial"/>
          <w:sz w:val="24"/>
          <w:szCs w:val="24"/>
        </w:rPr>
        <w:t xml:space="preserve">22. При использовании в своей деятельности специализированной платформы программно-технических комплексов, работающих в режиме самообслуживания, оператор обмена виртуальных активов обязан принять меры по обеспечению их сохранности, в том числе обеспечить наличие в местах их нахождения видеонаблюдения, а также заключить направленный на круглосуточную охрану данных комплексов Договор об оказании охраны уполномоченным органом в сфере по обеспечению общественного порядка и безопасности, а также по борьбе с преступностью либо лицензированным охранным агентством охранных услуг по охране объектов (имущества) юридических лиц или индивидуальных предпринимателей с использованием средств и систем охраны.</w:t>
      </w:r>
    </w:p>
    <w:p>
      <w:pPr>
        <w:spacing w:after="120"/>
        <w:ind w:firstLine="397"/>
        <w:jc w:val="both"/>
      </w:pPr>
      <w:r>
        <w:rPr>
          <w:rFonts w:ascii="Arial" w:cs="Arial" w:eastAsia="Arial" w:hAnsi="Arial"/>
          <w:sz w:val="24"/>
          <w:szCs w:val="24"/>
        </w:rPr>
        <w:t xml:space="preserve">23. Незамедлительно после совершения с клиентом сделки с виртуальными активами оператор обмена виртуальных активов обязан отправить клиенту электронное сообщение или иной подтверждающий документ, а в случае совершения сделки с виртуальными активами посредством программно-технического комплекса, работающего в режиме самообслуживания, предоставить чек, содержащее (содержащий) все условия совершенной сделки.</w:t>
      </w:r>
    </w:p>
    <w:p>
      <w:pPr>
        <w:spacing w:after="120"/>
        <w:ind w:firstLine="397"/>
        <w:jc w:val="both"/>
      </w:pPr>
      <w:r>
        <w:rPr>
          <w:rFonts w:ascii="Arial" w:cs="Arial" w:eastAsia="Arial" w:hAnsi="Arial"/>
          <w:sz w:val="24"/>
          <w:szCs w:val="24"/>
        </w:rPr>
        <w:t xml:space="preserve">24. Оператор обмена виртуальных активов обязан предпринимать меры, исключающие совершение анонимных сделок с виртуальными активами, которые созданы и (или) размещены с нарушением законодательства Кыргызской Республики в сфере оборота виртуальных активов.</w:t>
      </w:r>
    </w:p>
    <w:p>
      <w:pPr>
        <w:spacing w:after="120"/>
        <w:ind w:firstLine="397"/>
        <w:jc w:val="both"/>
      </w:pPr>
      <w:r>
        <w:rPr>
          <w:rFonts w:ascii="Arial" w:cs="Arial" w:eastAsia="Arial" w:hAnsi="Arial"/>
          <w:sz w:val="24"/>
          <w:szCs w:val="24"/>
        </w:rPr>
        <w:t xml:space="preserve">Операторам обмена виртуальных активов запрещается:</w:t>
      </w:r>
    </w:p>
    <w:p>
      <w:pPr>
        <w:spacing w:after="120"/>
        <w:ind w:firstLine="397"/>
        <w:jc w:val="both"/>
      </w:pPr>
      <w:r>
        <w:rPr>
          <w:rFonts w:ascii="Arial" w:cs="Arial" w:eastAsia="Arial" w:hAnsi="Arial"/>
          <w:sz w:val="24"/>
          <w:szCs w:val="24"/>
        </w:rPr>
        <w:t xml:space="preserve">-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w:t>
      </w:r>
    </w:p>
    <w:p>
      <w:pPr>
        <w:spacing w:after="120"/>
        <w:ind w:firstLine="397"/>
        <w:jc w:val="both"/>
      </w:pPr>
      <w:r>
        <w:rPr>
          <w:rFonts w:ascii="Arial" w:cs="Arial" w:eastAsia="Arial" w:hAnsi="Arial"/>
          <w:sz w:val="24"/>
          <w:szCs w:val="24"/>
        </w:rPr>
        <w:t xml:space="preserve">- использовать в деятельности токены с уникальными характеристиками (NFT);</w:t>
      </w:r>
    </w:p>
    <w:p>
      <w:pPr>
        <w:spacing w:after="120"/>
        <w:ind w:firstLine="397"/>
        <w:jc w:val="both"/>
      </w:pPr>
      <w:r>
        <w:rPr>
          <w:rFonts w:ascii="Arial" w:cs="Arial" w:eastAsia="Arial" w:hAnsi="Arial"/>
          <w:sz w:val="24"/>
          <w:szCs w:val="24"/>
        </w:rPr>
        <w:t xml:space="preserve">- использовать в деятельности предоплаченные карты, выпущенные зарубежными финансовыми учреждениями;</w:t>
      </w:r>
    </w:p>
    <w:p>
      <w:pPr>
        <w:spacing w:after="120"/>
        <w:ind w:firstLine="397"/>
        <w:jc w:val="both"/>
      </w:pPr>
      <w:r>
        <w:rPr>
          <w:rFonts w:ascii="Arial" w:cs="Arial" w:eastAsia="Arial" w:hAnsi="Arial"/>
          <w:sz w:val="24"/>
          <w:szCs w:val="24"/>
        </w:rPr>
        <w:t xml:space="preserve">- осуществлять переводы виртуальных активов и проводить операции с виртуальными активами, связанные с деятельностью онлайн казино и виртуальных казино;</w:t>
      </w:r>
    </w:p>
    <w:p>
      <w:pPr>
        <w:spacing w:after="120"/>
        <w:ind w:firstLine="397"/>
        <w:jc w:val="both"/>
      </w:pPr>
      <w:r>
        <w:rPr>
          <w:rFonts w:ascii="Arial" w:cs="Arial" w:eastAsia="Arial" w:hAnsi="Arial"/>
          <w:sz w:val="24"/>
          <w:szCs w:val="24"/>
        </w:rPr>
        <w:t xml:space="preserve">- осуществлять операции с виртуальными активами, кошельками виртуальных активов, имеющими высокий уровень рисков, выявленных в результате процентного скоринга.</w:t>
      </w:r>
    </w:p>
    <w:p>
      <w:pPr>
        <w:spacing w:after="120"/>
        <w:ind w:firstLine="39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оператором обмена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p>
    <w:p>
      <w:pPr>
        <w:spacing w:after="120"/>
        <w:ind w:firstLine="397"/>
        <w:jc w:val="both"/>
      </w:pPr>
      <w:r>
        <w:rPr>
          <w:rFonts w:ascii="Arial" w:cs="Arial" w:eastAsia="Arial" w:hAnsi="Arial"/>
          <w:sz w:val="24"/>
          <w:szCs w:val="24"/>
        </w:rPr>
        <w:t xml:space="preserve">25. Для исполнения сделок с виртуальными активами оператор обмена виртуальных активов получает от клиента на свой текущий (расчетный) банковский счет, свой электронный кошелек, на свой адрес (идентификатор) виртуального кошелька соответственно деньги, электронные деньги, виртуальные активы и передает клиенту в зависимости от вида совершенной сделки с виртуальными активами в качестве встречного предоставления деньги, электронные деньги или виртуальные активы.</w:t>
      </w:r>
    </w:p>
    <w:p>
      <w:pPr>
        <w:spacing w:after="120"/>
        <w:ind w:firstLine="397"/>
        <w:jc w:val="both"/>
      </w:pPr>
      <w:r>
        <w:rPr>
          <w:rFonts w:ascii="Arial" w:cs="Arial" w:eastAsia="Arial" w:hAnsi="Arial"/>
          <w:sz w:val="24"/>
          <w:szCs w:val="24"/>
        </w:rPr>
        <w:t xml:space="preserve">При оказании услуг по покупке и продаже виртуальных активов операторы обмена виртуальных активов могут использовать только безналичный расчет.</w:t>
      </w:r>
    </w:p>
    <w:p>
      <w:pPr>
        <w:spacing w:after="120"/>
        <w:ind w:firstLine="397"/>
        <w:jc w:val="both"/>
      </w:pPr>
      <w:r>
        <w:rPr>
          <w:rFonts w:ascii="Arial" w:cs="Arial" w:eastAsia="Arial" w:hAnsi="Arial"/>
          <w:sz w:val="24"/>
          <w:szCs w:val="24"/>
        </w:rPr>
        <w:t xml:space="preserve">26. Последовательность исполнения сторонами указанных обязанностей по сделкам с виртуальными активами определяется в соответствующем договоре (соответствующих договорах) между оператором обмена виртуальных активов и клиентом.</w:t>
      </w:r>
    </w:p>
    <w:p>
      <w:pPr>
        <w:spacing w:after="120"/>
        <w:ind w:firstLine="397"/>
        <w:jc w:val="both"/>
      </w:pPr>
      <w:r>
        <w:rPr>
          <w:rFonts w:ascii="Arial" w:cs="Arial" w:eastAsia="Arial" w:hAnsi="Arial"/>
          <w:sz w:val="24"/>
          <w:szCs w:val="24"/>
        </w:rPr>
        <w:t xml:space="preserve">В случае если сторонами будет согласовано, что выполнение оператором обмена виртуальных активов своей обязанности передать клиенту денежные средства, электронные деньги или виртуальные активы производится только после выполнения клиентом своей обязанности передать оператору обмена виртуальных активов денежные средства, электронные деньги или виртуальные активы (в зависимости от вида совершенной сделки с виртуальными активами), оператор обмена виртуальных активов обязан обеспечить возможность идентификации назначения полученных им от клиента денежных средств, электронных денег или виртуальных активов клиента (то есть возможность однозначного определения заявки, в рамках которой клиент передал оператору обмена виртуальных активов данные денежные средства, электронные деньги или виртуальные активы).</w:t>
      </w:r>
    </w:p>
    <w:p>
      <w:pPr>
        <w:spacing w:after="120"/>
        <w:ind w:firstLine="397"/>
        <w:jc w:val="both"/>
      </w:pPr>
      <w:r>
        <w:rPr>
          <w:rFonts w:ascii="Arial" w:cs="Arial" w:eastAsia="Arial" w:hAnsi="Arial"/>
          <w:sz w:val="24"/>
          <w:szCs w:val="24"/>
        </w:rPr>
        <w:t xml:space="preserve">27. На территории Кыргызской Республики запрещается совершение сделок с виртуальными активами, не прошедшими государственную регистрацию выпуска виртуальных активов в уполномоченном государственном органе, за исключением включенных в листинг у оператора торгов виртуальных активов (криптобиржи) иностранных виртуальных активов, выпущенных и обращающихся у иностранных операторов торгов виртуальных активов (криптобирж).</w:t>
      </w:r>
    </w:p>
    <w:p>
      <w:pPr>
        <w:spacing w:after="120"/>
        <w:ind w:firstLine="39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обмена виртуальных активов.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Нормативные показатели достаточности</w:t>
      </w:r>
    </w:p>
    <w:p>
      <w:pPr>
        <w:spacing w:after="240" w:before="200"/>
        <w:jc w:val="center"/>
      </w:pPr>
      <w:r>
        <w:rPr>
          <w:rFonts w:ascii="Arial" w:cs="Arial" w:eastAsia="Arial" w:hAnsi="Arial"/>
          <w:b/>
          <w:bCs/>
          <w:sz w:val="32"/>
          <w:szCs w:val="32"/>
        </w:rPr>
        <w:t xml:space="preserve">собственных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Минимальный размер уставного капитала операторов обмена виртуальных активов Кыргызской Республики должен быть не менее 400000 расчетных показателей, установленных законодательством Кыргызской Республики в виде денежных средств на дату подачи заявления.</w:t>
      </w:r>
    </w:p>
    <w:p>
      <w:pPr>
        <w:spacing w:after="120"/>
        <w:ind w:firstLine="397"/>
        <w:jc w:val="both"/>
      </w:pPr>
      <w:r>
        <w:rPr>
          <w:rFonts w:ascii="Arial" w:cs="Arial" w:eastAsia="Arial" w:hAnsi="Arial"/>
          <w:sz w:val="24"/>
          <w:szCs w:val="24"/>
        </w:rPr>
        <w:t xml:space="preserve">Использование для формирования уставного капитала оператора обмена виртуальных активов средств, полученных в кредит, под залог, и других привлеченных средств не допускается.</w:t>
      </w:r>
    </w:p>
    <w:p>
      <w:pPr>
        <w:spacing w:after="120"/>
        <w:ind w:firstLine="397"/>
        <w:jc w:val="both"/>
      </w:pPr>
      <w:r>
        <w:rPr>
          <w:rFonts w:ascii="Arial" w:cs="Arial" w:eastAsia="Arial" w:hAnsi="Arial"/>
          <w:sz w:val="24"/>
          <w:szCs w:val="24"/>
        </w:rPr>
        <w:t xml:space="preserve">29. Собственные средства операторов обмена виртуальных активов должны быть не менее минимального размера уставного капитала, установленного вышеуказанным пунктом настоящего Положения.</w:t>
      </w:r>
    </w:p>
    <w:p>
      <w:pPr>
        <w:spacing w:after="120"/>
        <w:ind w:firstLine="397"/>
        <w:jc w:val="both"/>
      </w:pPr>
      <w:r>
        <w:rPr>
          <w:rFonts w:ascii="Arial" w:cs="Arial" w:eastAsia="Arial" w:hAnsi="Arial"/>
          <w:sz w:val="24"/>
          <w:szCs w:val="24"/>
        </w:rPr>
        <w:t xml:space="preserve">30. При осуществлении на условиях совмещения нескольких видов поставщиков услуг виртуальных активов минимальный размер уставного капитала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ind w:firstLine="397"/>
        <w:jc w:val="both"/>
      </w:pPr>
      <w:r>
        <w:rPr>
          <w:rFonts w:ascii="Arial" w:cs="Arial" w:eastAsia="Arial" w:hAnsi="Arial"/>
          <w:sz w:val="24"/>
          <w:szCs w:val="24"/>
        </w:rPr>
        <w:t xml:space="preserve">7. Документы, представляемые для получения лицензии на право осуществления деятельности оператора обмена виртуальных активов</w:t>
      </w:r>
    </w:p>
    <w:p>
      <w:pPr>
        <w:spacing w:after="120"/>
        <w:ind w:firstLine="397"/>
        <w:jc w:val="both"/>
      </w:pPr>
      <w:r>
        <w:rPr>
          <w:rFonts w:ascii="Arial" w:cs="Arial" w:eastAsia="Arial" w:hAnsi="Arial"/>
          <w:sz w:val="24"/>
          <w:szCs w:val="24"/>
        </w:rPr>
        <w:t xml:space="preserve">31. Для получения лицензии на ведение деятельности в качестве поставщика услуг виртуальных активов, осуществляемой оператором обмена виртуальных активов, юридическое лицо представляет в уполномоченный орган следующие документы/сведения в одном экземпляре на государственном или официальном языке:</w:t>
      </w:r>
    </w:p>
    <w:p>
      <w:pPr>
        <w:spacing w:after="120"/>
        <w:ind w:firstLine="397"/>
        <w:jc w:val="both"/>
      </w:pPr>
      <w:r>
        <w:rPr>
          <w:rFonts w:ascii="Arial" w:cs="Arial" w:eastAsia="Arial" w:hAnsi="Arial"/>
          <w:sz w:val="24"/>
          <w:szCs w:val="24"/>
        </w:rPr>
        <w:t xml:space="preserve">1) заявление о выдаче лицензии с указанием наименования и организационно-правовой формы юридического лица, его местонахождения (почтового адреса), адреса электронной почты, наименования учреждения банка и номера депозитного и/или расчетного счета в учреждении банка;</w:t>
      </w:r>
    </w:p>
    <w:p>
      <w:pPr>
        <w:spacing w:after="120"/>
        <w:ind w:firstLine="39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p>
    <w:p>
      <w:pPr>
        <w:spacing w:after="120"/>
        <w:ind w:firstLine="397"/>
        <w:jc w:val="both"/>
      </w:pPr>
      <w:r>
        <w:rPr>
          <w:rFonts w:ascii="Arial" w:cs="Arial" w:eastAsia="Arial" w:hAnsi="Arial"/>
          <w:sz w:val="24"/>
          <w:szCs w:val="24"/>
        </w:rPr>
        <w:t xml:space="preserve">3) документы/сведения по участникам/акционерам/учредителям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акций/долей в капитале, капитале юридического лица, содержащая идентификационные данные таких лиц, количество и процент акций/долей, которыми обладает каждый такой участник/акционер/учредитель;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p>
    <w:p>
      <w:pPr>
        <w:spacing w:after="120"/>
        <w:ind w:firstLine="39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прошел/прошла, профессионального опыта, включая, в частности, названия всех организаций, в которых он/она работал/работала, характер и продолжительность занимаемых должностей, деловой репутации);</w:t>
      </w:r>
    </w:p>
    <w:p>
      <w:pPr>
        <w:spacing w:after="120"/>
        <w:ind w:firstLine="397"/>
        <w:jc w:val="both"/>
      </w:pPr>
      <w:r>
        <w:rPr>
          <w:rFonts w:ascii="Arial" w:cs="Arial" w:eastAsia="Arial" w:hAnsi="Arial"/>
          <w:sz w:val="24"/>
          <w:szCs w:val="24"/>
        </w:rPr>
        <w:t xml:space="preserve">5) заполненные и подписанные участниками/акционерами/учредителями, должностными лицами и бенефициарными владельцами юридического лица анкеты по форме согласно приложениям </w:t>
      </w:r>
      <w:hyperlink w:history="1" r:id="rIdiddqyem4_ov9o11zrtidh">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clhz6d1zeprhtziicr_h">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 либо сканированные копии заполненных анкет с последующим предоставлением оригинала;</w:t>
      </w:r>
    </w:p>
    <w:p>
      <w:pPr>
        <w:spacing w:after="120"/>
        <w:ind w:firstLine="39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оператора обмена виртуальных активов;</w:t>
      </w:r>
    </w:p>
    <w:p>
      <w:pPr>
        <w:spacing w:after="120"/>
        <w:ind w:firstLine="397"/>
        <w:jc w:val="both"/>
      </w:pPr>
      <w:r>
        <w:rPr>
          <w:rFonts w:ascii="Arial" w:cs="Arial" w:eastAsia="Arial" w:hAnsi="Arial"/>
          <w:sz w:val="24"/>
          <w:szCs w:val="24"/>
        </w:rPr>
        <w:t xml:space="preserve">7) программу/план операционных действий;</w:t>
      </w:r>
    </w:p>
    <w:p>
      <w:pPr>
        <w:spacing w:after="120"/>
        <w:ind w:firstLine="397"/>
        <w:jc w:val="both"/>
      </w:pPr>
      <w:r>
        <w:rPr>
          <w:rFonts w:ascii="Arial" w:cs="Arial" w:eastAsia="Arial" w:hAnsi="Arial"/>
          <w:sz w:val="24"/>
          <w:szCs w:val="24"/>
        </w:rPr>
        <w:t xml:space="preserve">8) бизнес-план (технико-экономическое обоснование), содержащий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w:t>
      </w:r>
    </w:p>
    <w:p>
      <w:pPr>
        <w:spacing w:after="120"/>
        <w:ind w:firstLine="397"/>
        <w:jc w:val="both"/>
      </w:pPr>
      <w:r>
        <w:rPr>
          <w:rFonts w:ascii="Arial" w:cs="Arial" w:eastAsia="Arial" w:hAnsi="Arial"/>
          <w:sz w:val="24"/>
          <w:szCs w:val="24"/>
        </w:rPr>
        <w:t xml:space="preserve">9)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w:t>
      </w:r>
    </w:p>
    <w:p>
      <w:pPr>
        <w:spacing w:after="120"/>
        <w:ind w:firstLine="397"/>
        <w:jc w:val="both"/>
      </w:pPr>
      <w:r>
        <w:rPr>
          <w:rFonts w:ascii="Arial" w:cs="Arial" w:eastAsia="Arial" w:hAnsi="Arial"/>
          <w:sz w:val="24"/>
          <w:szCs w:val="24"/>
        </w:rPr>
        <w:t xml:space="preserve">10) политику и план обеспечения непрерывности деятельности;</w:t>
      </w:r>
    </w:p>
    <w:p>
      <w:pPr>
        <w:spacing w:after="120"/>
        <w:ind w:firstLine="397"/>
        <w:jc w:val="both"/>
      </w:pPr>
      <w:r>
        <w:rPr>
          <w:rFonts w:ascii="Arial" w:cs="Arial" w:eastAsia="Arial" w:hAnsi="Arial"/>
          <w:sz w:val="24"/>
          <w:szCs w:val="24"/>
        </w:rPr>
        <w:t xml:space="preserve">11) копию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w:t>
      </w:r>
    </w:p>
    <w:p>
      <w:pPr>
        <w:spacing w:after="120"/>
        <w:ind w:firstLine="397"/>
        <w:jc w:val="both"/>
      </w:pPr>
      <w:r>
        <w:rPr>
          <w:rFonts w:ascii="Arial" w:cs="Arial" w:eastAsia="Arial" w:hAnsi="Arial"/>
          <w:sz w:val="24"/>
          <w:szCs w:val="24"/>
        </w:rPr>
        <w:t xml:space="preserve">12) документ, подтверждающий внесение денежных средств в качестве уставного капитала согласно настоящему Положению;</w:t>
      </w:r>
    </w:p>
    <w:p>
      <w:pPr>
        <w:spacing w:after="120"/>
        <w:ind w:firstLine="397"/>
        <w:jc w:val="both"/>
      </w:pPr>
      <w:r>
        <w:rPr>
          <w:rFonts w:ascii="Arial" w:cs="Arial" w:eastAsia="Arial" w:hAnsi="Arial"/>
          <w:sz w:val="24"/>
          <w:szCs w:val="24"/>
        </w:rPr>
        <w:t xml:space="preserve">13) финансовую отчетность на последнюю отчетную дату, переданную в налоговые органы, заверенную печатью и подписью руководителя юридического лица);</w:t>
      </w:r>
    </w:p>
    <w:p>
      <w:pPr>
        <w:spacing w:after="120"/>
        <w:ind w:firstLine="397"/>
        <w:jc w:val="both"/>
      </w:pPr>
      <w:r>
        <w:rPr>
          <w:rFonts w:ascii="Arial" w:cs="Arial" w:eastAsia="Arial" w:hAnsi="Arial"/>
          <w:sz w:val="24"/>
          <w:szCs w:val="24"/>
        </w:rPr>
        <w:t xml:space="preserve">14)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p>
    <w:p>
      <w:pPr>
        <w:spacing w:after="120"/>
        <w:ind w:firstLine="397"/>
        <w:jc w:val="both"/>
      </w:pPr>
      <w:r>
        <w:rPr>
          <w:rFonts w:ascii="Arial" w:cs="Arial" w:eastAsia="Arial" w:hAnsi="Arial"/>
          <w:sz w:val="24"/>
          <w:szCs w:val="24"/>
        </w:rPr>
        <w:t xml:space="preserve">15) документы/сведения по системе противодействия финансированию преступной деятельности и легализации (отмыванию) преступных доходов юридического лица (руководство по противодействию финансированию преступной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преступной деятельности и легализации (отмыванию) преступных доходов; процедуры мониторинга клиентов и транзакций в рамках противодействия финансированию преступной деятельности и легализации (отмыванию) преступных доходов; руководство по обучению в области противодействия финансированию преступной деятельности и легализации (отмыванию) преступных доходов; соглашения с поставщиками услуг в области противодействия финансированию преступной деятельности и легализации (отмыванию) преступных доходов; матрица рисков финансирования преступной деятельности и легализации (отмыванию) преступных доходов; функциональные возможности инструментов для оценки рисков, связанных с финансированием преступной деятельности и легализацией (отмыванием) преступных доходов; сценарии противодействия финансированию преступной деятельности и легализации (отмыванию) преступных доходов, реализованные в инструментах; объем предупреждений о противодействии финансированию преступной деятельности и легализации (отмыванию) преступных доходов и количество клиентов, классифицированных по уровню рисков);</w:t>
      </w:r>
    </w:p>
    <w:p>
      <w:pPr>
        <w:spacing w:after="120"/>
        <w:ind w:firstLine="397"/>
        <w:jc w:val="both"/>
      </w:pPr>
      <w:r>
        <w:rPr>
          <w:rFonts w:ascii="Arial" w:cs="Arial" w:eastAsia="Arial" w:hAnsi="Arial"/>
          <w:sz w:val="24"/>
          <w:szCs w:val="24"/>
        </w:rPr>
        <w:t xml:space="preserve">16)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p>
    <w:p>
      <w:pPr>
        <w:spacing w:after="120"/>
        <w:ind w:firstLine="397"/>
        <w:jc w:val="both"/>
      </w:pPr>
      <w:r>
        <w:rPr>
          <w:rFonts w:ascii="Arial" w:cs="Arial" w:eastAsia="Arial" w:hAnsi="Arial"/>
          <w:sz w:val="24"/>
          <w:szCs w:val="24"/>
        </w:rPr>
        <w:t xml:space="preserve">17) сведения/документы по документации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p>
    <w:p>
      <w:pPr>
        <w:spacing w:after="120"/>
        <w:ind w:firstLine="397"/>
        <w:jc w:val="both"/>
      </w:pPr>
      <w:r>
        <w:rPr>
          <w:rFonts w:ascii="Arial" w:cs="Arial" w:eastAsia="Arial" w:hAnsi="Arial"/>
          <w:sz w:val="24"/>
          <w:szCs w:val="24"/>
        </w:rPr>
        <w:t xml:space="preserve">18)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в случае, если от имени юридического лица действует представитель по доверенности;</w:t>
      </w:r>
    </w:p>
    <w:p>
      <w:pPr>
        <w:spacing w:after="120"/>
        <w:ind w:firstLine="397"/>
        <w:jc w:val="both"/>
      </w:pPr>
      <w:r>
        <w:rPr>
          <w:rFonts w:ascii="Arial" w:cs="Arial" w:eastAsia="Arial" w:hAnsi="Arial"/>
          <w:sz w:val="24"/>
          <w:szCs w:val="24"/>
        </w:rPr>
        <w:t xml:space="preserve">19) данные о деловой репутации юридического лица;</w:t>
      </w:r>
    </w:p>
    <w:p>
      <w:pPr>
        <w:spacing w:after="120"/>
        <w:ind w:firstLine="397"/>
        <w:jc w:val="both"/>
      </w:pPr>
      <w:r>
        <w:rPr>
          <w:rFonts w:ascii="Arial" w:cs="Arial" w:eastAsia="Arial" w:hAnsi="Arial"/>
          <w:sz w:val="24"/>
          <w:szCs w:val="24"/>
        </w:rPr>
        <w:t xml:space="preserve">20) документ, подтверждающий оплату государственной пошлины за лицензию;</w:t>
      </w:r>
    </w:p>
    <w:p>
      <w:pPr>
        <w:spacing w:after="120"/>
        <w:ind w:firstLine="397"/>
        <w:jc w:val="both"/>
      </w:pPr>
      <w:r>
        <w:rPr>
          <w:rFonts w:ascii="Arial" w:cs="Arial" w:eastAsia="Arial" w:hAnsi="Arial"/>
          <w:sz w:val="24"/>
          <w:szCs w:val="24"/>
        </w:rPr>
        <w:t xml:space="preserve">21) копию заключенного договора с поставщиком AML/KYT-услуг, определенным уполномоченным органом.</w:t>
      </w:r>
    </w:p>
    <w:p>
      <w:pPr>
        <w:spacing w:after="120"/>
        <w:ind w:firstLine="397"/>
        <w:jc w:val="both"/>
      </w:pPr>
      <w:r>
        <w:rPr>
          <w:rFonts w:ascii="Arial" w:cs="Arial" w:eastAsia="Arial" w:hAnsi="Arial"/>
          <w:sz w:val="24"/>
          <w:szCs w:val="24"/>
        </w:rPr>
        <w:t xml:space="preserve">Все документы должны быть подписаны руководителем, а в случае предоставления в виде электронного документа подтверждаются цифровой подписью.</w:t>
      </w:r>
    </w:p>
    <w:p>
      <w:pPr>
        <w:spacing w:after="120"/>
        <w:ind w:firstLine="397"/>
        <w:jc w:val="both"/>
      </w:pPr>
      <w:r>
        <w:rPr>
          <w:rFonts w:ascii="Arial" w:cs="Arial" w:eastAsia="Arial" w:hAnsi="Arial"/>
          <w:sz w:val="24"/>
          <w:szCs w:val="24"/>
        </w:rPr>
        <w:t xml:space="preserve">Операторы обмена виртуальных активов несут ответственность, установленную законодательством Кыргызской Республики в области административного права,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Реестр операторов обмена виртуальных активов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Реестр операторов обмена виртуальных активов ведется уполномоченным органом и является электронной базой данных, в которую вносится информация, необходимая для выполнения функций регулирования и надзора за деятельностью операторов обмена виртуальных активов уполномоченным органом.</w:t>
      </w:r>
    </w:p>
    <w:p>
      <w:pPr>
        <w:spacing w:after="120"/>
        <w:ind w:firstLine="397"/>
        <w:jc w:val="both"/>
      </w:pPr>
      <w:r>
        <w:rPr>
          <w:rFonts w:ascii="Arial" w:cs="Arial" w:eastAsia="Arial" w:hAnsi="Arial"/>
          <w:sz w:val="24"/>
          <w:szCs w:val="24"/>
        </w:rPr>
        <w:t xml:space="preserve">33. Реестр операторов обмена виртуальных активов подлежит обязательному размещению на официальном сайте уполномоченного органа, является открытым и доступным для ознакомления заинтересованных лиц со сведениями, содержащимися в нем, за исключением сведений ограниченного доступа в соответствии с </w:t>
      </w:r>
      <w:hyperlink w:history="1" r:id="rIdwkrbnv1v0cjzaujkv9v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397"/>
        <w:jc w:val="both"/>
      </w:pPr>
      <w:r>
        <w:rPr>
          <w:rFonts w:ascii="Arial" w:cs="Arial" w:eastAsia="Arial" w:hAnsi="Arial"/>
          <w:sz w:val="24"/>
          <w:szCs w:val="24"/>
        </w:rPr>
        <w:t xml:space="preserve">34. Реестр операторов обмена виртуальных активов должен содержать следующие основные сведения:</w:t>
      </w:r>
    </w:p>
    <w:p>
      <w:pPr>
        <w:spacing w:after="120"/>
        <w:ind w:firstLine="397"/>
        <w:jc w:val="both"/>
      </w:pPr>
      <w:r>
        <w:rPr>
          <w:rFonts w:ascii="Arial" w:cs="Arial" w:eastAsia="Arial" w:hAnsi="Arial"/>
          <w:sz w:val="24"/>
          <w:szCs w:val="24"/>
        </w:rPr>
        <w:t xml:space="preserve">наименование юридического лица - лицензиата, его организационно-правовая форма, местонахождение (почтовый адрес), адрес электронной почты, телефон, идентификационный номер налогоплательщика, сведения об органах его управления, контактные данные, данные веб-сайта;</w:t>
      </w:r>
    </w:p>
    <w:p>
      <w:pPr>
        <w:spacing w:after="120"/>
        <w:ind w:firstLine="397"/>
        <w:jc w:val="both"/>
      </w:pPr>
      <w:r>
        <w:rPr>
          <w:rFonts w:ascii="Arial" w:cs="Arial" w:eastAsia="Arial" w:hAnsi="Arial"/>
          <w:sz w:val="24"/>
          <w:szCs w:val="24"/>
        </w:rPr>
        <w:t xml:space="preserve">информация о долях учредителей в уставном капитале;</w:t>
      </w:r>
    </w:p>
    <w:p>
      <w:pPr>
        <w:spacing w:after="120"/>
        <w:ind w:firstLine="397"/>
        <w:jc w:val="both"/>
      </w:pPr>
      <w:r>
        <w:rPr>
          <w:rFonts w:ascii="Arial" w:cs="Arial" w:eastAsia="Arial" w:hAnsi="Arial"/>
          <w:sz w:val="24"/>
          <w:szCs w:val="24"/>
        </w:rPr>
        <w:t xml:space="preserve">дата выдачи и номер лицензии;</w:t>
      </w:r>
    </w:p>
    <w:p>
      <w:pPr>
        <w:spacing w:after="120"/>
        <w:ind w:firstLine="397"/>
        <w:jc w:val="both"/>
      </w:pPr>
      <w:r>
        <w:rPr>
          <w:rFonts w:ascii="Arial" w:cs="Arial" w:eastAsia="Arial" w:hAnsi="Arial"/>
          <w:sz w:val="24"/>
          <w:szCs w:val="24"/>
        </w:rPr>
        <w:t xml:space="preserve">серия и номер бланка лицензии;</w:t>
      </w:r>
    </w:p>
    <w:p>
      <w:pPr>
        <w:spacing w:after="120"/>
        <w:ind w:firstLine="397"/>
        <w:jc w:val="both"/>
      </w:pPr>
      <w:r>
        <w:rPr>
          <w:rFonts w:ascii="Arial" w:cs="Arial" w:eastAsia="Arial" w:hAnsi="Arial"/>
          <w:sz w:val="24"/>
          <w:szCs w:val="24"/>
        </w:rPr>
        <w:t xml:space="preserve">основания и даты переоформления, приостановления и возобновления действия лицензий;</w:t>
      </w:r>
    </w:p>
    <w:p>
      <w:pPr>
        <w:spacing w:after="120"/>
        <w:ind w:firstLine="397"/>
        <w:jc w:val="both"/>
      </w:pPr>
      <w:r>
        <w:rPr>
          <w:rFonts w:ascii="Arial" w:cs="Arial" w:eastAsia="Arial" w:hAnsi="Arial"/>
          <w:sz w:val="24"/>
          <w:szCs w:val="24"/>
        </w:rPr>
        <w:t xml:space="preserve">основания и даты прекращения действия лицензий;</w:t>
      </w:r>
    </w:p>
    <w:p>
      <w:pPr>
        <w:spacing w:after="120"/>
        <w:ind w:firstLine="397"/>
        <w:jc w:val="both"/>
      </w:pPr>
      <w:r>
        <w:rPr>
          <w:rFonts w:ascii="Arial" w:cs="Arial" w:eastAsia="Arial" w:hAnsi="Arial"/>
          <w:sz w:val="24"/>
          <w:szCs w:val="24"/>
        </w:rPr>
        <w:t xml:space="preserve">основания и даты аннулирования лицензий;</w:t>
      </w:r>
    </w:p>
    <w:p>
      <w:pPr>
        <w:spacing w:after="120"/>
        <w:ind w:firstLine="397"/>
        <w:jc w:val="both"/>
      </w:pPr>
      <w:r>
        <w:rPr>
          <w:rFonts w:ascii="Arial" w:cs="Arial" w:eastAsia="Arial" w:hAnsi="Arial"/>
          <w:sz w:val="24"/>
          <w:szCs w:val="24"/>
        </w:rPr>
        <w:t xml:space="preserve">основание и дата выдачи дубликата.</w:t>
      </w:r>
    </w:p>
    <w:p>
      <w:pPr>
        <w:spacing w:after="120"/>
        <w:ind w:firstLine="397"/>
        <w:jc w:val="both"/>
      </w:pPr>
      <w:r>
        <w:rPr>
          <w:rFonts w:ascii="Arial" w:cs="Arial" w:eastAsia="Arial" w:hAnsi="Arial"/>
          <w:sz w:val="24"/>
          <w:szCs w:val="24"/>
        </w:rPr>
        <w:t xml:space="preserve">35. Информация, содержащаяся в реестре лицензий, размещается на веб-сайте уполномоченного органа, и является открытой для ознакомления.</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Операторы обмена виртуальных активов обязаны уведомлять уполномоченный орган об изменениях данных, указанных в документах, прилагаемых к заявлению на выдачу лицензии, не являющихся основанием для перерегистрации лицензии. Уведомление предоставляется в письменной форме не позднее 10 (десять)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Реестр операторов обмена виртуальных активов в течение 3 (три) рабочих дней с даты поступления уведомления.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 Учет и отчетность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Оператор обмена виртуальных активов обязан ежемесячно представлять в уполномоченный орган оперативную отчетность. Форма отчетности утверждается приказом уполномоченного органа.</w:t>
      </w:r>
    </w:p>
    <w:p>
      <w:pPr>
        <w:spacing w:after="120"/>
        <w:ind w:firstLine="397"/>
        <w:jc w:val="both"/>
      </w:pPr>
      <w:r>
        <w:rPr>
          <w:rFonts w:ascii="Arial" w:cs="Arial" w:eastAsia="Arial" w:hAnsi="Arial"/>
          <w:sz w:val="24"/>
          <w:szCs w:val="24"/>
        </w:rPr>
        <w:t xml:space="preserve">37. Оператор обмена виртуальных активов обязан ежеквартально не позднее 10 рабочих дней после даты окончания отчетного периода представлять в уполномоченный орган финансовую отчетность, составленную в соответствии с МСФО:</w:t>
      </w:r>
    </w:p>
    <w:p>
      <w:pPr>
        <w:spacing w:after="120"/>
        <w:ind w:firstLine="397"/>
        <w:jc w:val="both"/>
      </w:pPr>
      <w:r>
        <w:rPr>
          <w:rFonts w:ascii="Arial" w:cs="Arial" w:eastAsia="Arial" w:hAnsi="Arial"/>
          <w:sz w:val="24"/>
          <w:szCs w:val="24"/>
        </w:rPr>
        <w:t xml:space="preserve">Полный комплект финансовой отчетности включает:</w:t>
      </w:r>
    </w:p>
    <w:p>
      <w:pPr>
        <w:spacing w:after="120"/>
        <w:ind w:firstLine="397"/>
        <w:jc w:val="both"/>
      </w:pPr>
      <w:r>
        <w:rPr>
          <w:rFonts w:ascii="Arial" w:cs="Arial" w:eastAsia="Arial" w:hAnsi="Arial"/>
          <w:sz w:val="24"/>
          <w:szCs w:val="24"/>
        </w:rPr>
        <w:t xml:space="preserve">(a) отчет о финансовом положении на дату окончания периода;</w:t>
      </w:r>
    </w:p>
    <w:p>
      <w:pPr>
        <w:spacing w:after="120"/>
        <w:ind w:firstLine="397"/>
        <w:jc w:val="both"/>
      </w:pPr>
      <w:r>
        <w:rPr>
          <w:rFonts w:ascii="Arial" w:cs="Arial" w:eastAsia="Arial" w:hAnsi="Arial"/>
          <w:sz w:val="24"/>
          <w:szCs w:val="24"/>
        </w:rPr>
        <w:t xml:space="preserve">(b) отчет о прибылях, убытках и прочих компонентах совокупного финансового результата за период;</w:t>
      </w:r>
    </w:p>
    <w:p>
      <w:pPr>
        <w:spacing w:after="120"/>
        <w:ind w:firstLine="397"/>
        <w:jc w:val="both"/>
      </w:pPr>
      <w:r>
        <w:rPr>
          <w:rFonts w:ascii="Arial" w:cs="Arial" w:eastAsia="Arial" w:hAnsi="Arial"/>
          <w:sz w:val="24"/>
          <w:szCs w:val="24"/>
        </w:rPr>
        <w:t xml:space="preserve">(c) отчет об изменениях в собственном капитале за период;</w:t>
      </w:r>
    </w:p>
    <w:p>
      <w:pPr>
        <w:spacing w:after="120"/>
        <w:ind w:firstLine="397"/>
        <w:jc w:val="both"/>
      </w:pPr>
      <w:r>
        <w:rPr>
          <w:rFonts w:ascii="Arial" w:cs="Arial" w:eastAsia="Arial" w:hAnsi="Arial"/>
          <w:sz w:val="24"/>
          <w:szCs w:val="24"/>
        </w:rPr>
        <w:t xml:space="preserve">(d) отчет о денежных потоках за период;</w:t>
      </w:r>
    </w:p>
    <w:p>
      <w:pPr>
        <w:spacing w:after="120"/>
        <w:ind w:firstLine="397"/>
        <w:jc w:val="both"/>
      </w:pPr>
      <w:r>
        <w:rPr>
          <w:rFonts w:ascii="Arial" w:cs="Arial" w:eastAsia="Arial" w:hAnsi="Arial"/>
          <w:sz w:val="24"/>
          <w:szCs w:val="24"/>
        </w:rPr>
        <w:t xml:space="preserve">(e) примечания, состоящие из основных положений учетной политики и прочей пояснительной информации.</w:t>
      </w:r>
    </w:p>
    <w:p>
      <w:pPr>
        <w:spacing w:after="120"/>
        <w:ind w:firstLine="397"/>
        <w:jc w:val="both"/>
      </w:pPr>
      <w:r>
        <w:rPr>
          <w:rFonts w:ascii="Arial" w:cs="Arial" w:eastAsia="Arial" w:hAnsi="Arial"/>
          <w:sz w:val="24"/>
          <w:szCs w:val="24"/>
        </w:rPr>
        <w:t xml:space="preserve">38. Деятельность оператора обмена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397"/>
        <w:jc w:val="both"/>
      </w:pPr>
      <w:r>
        <w:rPr>
          <w:rFonts w:ascii="Arial" w:cs="Arial" w:eastAsia="Arial" w:hAnsi="Arial"/>
          <w:sz w:val="24"/>
          <w:szCs w:val="24"/>
        </w:rPr>
        <w:t xml:space="preserve">Внешним аудитором оператора обмена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397"/>
        <w:jc w:val="both"/>
      </w:pPr>
      <w:r>
        <w:rPr>
          <w:rFonts w:ascii="Arial" w:cs="Arial" w:eastAsia="Arial" w:hAnsi="Arial"/>
          <w:sz w:val="24"/>
          <w:szCs w:val="24"/>
        </w:rPr>
        <w:t xml:space="preserve">По завершении финансового года оператор обмена виртуальных активов обязан:</w:t>
      </w:r>
    </w:p>
    <w:p>
      <w:pPr>
        <w:spacing w:after="120"/>
        <w:ind w:firstLine="397"/>
        <w:jc w:val="both"/>
      </w:pPr>
      <w:r>
        <w:rPr>
          <w:rFonts w:ascii="Arial" w:cs="Arial" w:eastAsia="Arial" w:hAnsi="Arial"/>
          <w:sz w:val="24"/>
          <w:szCs w:val="24"/>
        </w:rPr>
        <w:t xml:space="preserve">- обеспечить проведение внешнего аудита оператора обмена виртуальных активов в срок не позднее девяноста дней с начала нового финансового года;</w:t>
      </w:r>
    </w:p>
    <w:p>
      <w:pPr>
        <w:spacing w:after="120"/>
        <w:ind w:firstLine="39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обмена виртуальных активов в срок не позднее ста пяти дней с начала нового финансового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5323"/>
        <w:gridCol w:w="2365"/>
        <w:gridCol w:w="1893"/>
      </w:tblGrid>
      <w:tr>
        <w:tc>
          <w:tcPr>
            <w:tcW w:type="dxa" w:w="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5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___________</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w:t>
            </w:r>
          </w:p>
          <w:p>
            <w:pPr>
              <w:jc w:val="left"/>
            </w:pPr>
            <w:r>
              <w:rPr>
                <w:rFonts w:ascii="Arial" w:cs="Arial" w:eastAsia="Arial" w:hAnsi="Arial"/>
                <w:sz w:val="24"/>
                <w:szCs w:val="24"/>
              </w:rPr>
              <w:t xml:space="preserve">проживания:</w:t>
            </w:r>
          </w:p>
          <w:p>
            <w:pPr>
              <w:jc w:val="left"/>
            </w:pPr>
            <w:r>
              <w:rPr>
                <w:rFonts w:ascii="Arial" w:cs="Arial" w:eastAsia="Arial" w:hAnsi="Arial"/>
                <w:sz w:val="24"/>
                <w:szCs w:val="24"/>
              </w:rPr>
              <w:t xml:space="preserve">моб. тел.: (__________)</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r>
        <w:tc>
          <w:tcPr>
            <w:tcW w:type="dxa" w:w="5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581"/>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Юридический адрес ____________________________</w:t>
            </w:r>
          </w:p>
          <w:p>
            <w:pPr>
              <w:jc w:val="both"/>
            </w:pPr>
            <w:r>
              <w:rPr>
                <w:rFonts w:ascii="Arial" w:cs="Arial" w:eastAsia="Arial" w:hAnsi="Arial"/>
                <w:sz w:val="24"/>
                <w:szCs w:val="24"/>
              </w:rPr>
              <w:t xml:space="preserve">3. Дата создания ________________________________</w:t>
            </w:r>
          </w:p>
          <w:p>
            <w:pPr>
              <w:jc w:val="both"/>
            </w:pPr>
            <w:r>
              <w:rPr>
                <w:rFonts w:ascii="Arial" w:cs="Arial" w:eastAsia="Arial" w:hAnsi="Arial"/>
                <w:sz w:val="24"/>
                <w:szCs w:val="24"/>
              </w:rPr>
              <w:t xml:space="preserve">4. ИНН _________________________________________</w:t>
            </w:r>
          </w:p>
          <w:p>
            <w:pPr>
              <w:jc w:val="both"/>
            </w:pPr>
            <w:r>
              <w:rPr>
                <w:rFonts w:ascii="Arial" w:cs="Arial" w:eastAsia="Arial" w:hAnsi="Arial"/>
                <w:sz w:val="24"/>
                <w:szCs w:val="24"/>
              </w:rPr>
              <w:t xml:space="preserve">5. Дата регистрации в уполномоченном органе по регистрации юридических лиц</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 (№ свидетельства о государственной регистрации/перерегистрации)</w:t>
            </w:r>
          </w:p>
          <w:p>
            <w:pPr>
              <w:jc w:val="both"/>
            </w:pPr>
            <w:r>
              <w:rPr>
                <w:rFonts w:ascii="Arial" w:cs="Arial" w:eastAsia="Arial" w:hAnsi="Arial"/>
                <w:sz w:val="24"/>
                <w:szCs w:val="24"/>
              </w:rPr>
              <w:t xml:space="preserve">6. Наименование и расположение банков, в которых открыты расчетные и иные счета:</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Данная анкета заполняется физическим лицом в части, в которой она применима к нему.</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w:t>
      </w:r>
    </w:p>
    <w:p>
      <w:pPr>
        <w:spacing w:after="240" w:before="200"/>
        <w:jc w:val="center"/>
      </w:pPr>
      <w:r>
        <w:rPr>
          <w:rFonts w:ascii="Arial" w:cs="Arial" w:eastAsia="Arial" w:hAnsi="Arial"/>
          <w:b/>
          <w:bCs/>
          <w:sz w:val="32"/>
          <w:szCs w:val="32"/>
        </w:rPr>
        <w:t xml:space="preserve">акционера (учредителя)/участника, бенефициарного владельца и</w:t>
      </w:r>
    </w:p>
    <w:p>
      <w:pPr>
        <w:spacing w:after="240" w:before="200"/>
        <w:jc w:val="center"/>
      </w:pPr>
      <w:r>
        <w:rPr>
          <w:rFonts w:ascii="Arial" w:cs="Arial" w:eastAsia="Arial" w:hAnsi="Arial"/>
          <w:b/>
          <w:bCs/>
          <w:sz w:val="32"/>
          <w:szCs w:val="32"/>
        </w:rPr>
        <w:t xml:space="preserve">должностного лица оператора обмена виртуальных активов</w:t>
      </w:r>
    </w:p>
    <w:p>
      <w:pPr>
        <w:spacing w:after="240" w:before="200"/>
        <w:jc w:val="center"/>
      </w:pPr>
      <w:r>
        <w:rPr>
          <w:rFonts w:ascii="Arial" w:cs="Arial" w:eastAsia="Arial" w:hAnsi="Arial"/>
          <w:b/>
          <w:bCs/>
          <w:sz w:val="32"/>
          <w:szCs w:val="32"/>
        </w:rPr>
        <w:t xml:space="preserve">(заполняется физическим лицом)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
        <w:gridCol w:w="3178"/>
        <w:gridCol w:w="3178"/>
        <w:gridCol w:w="3178"/>
      </w:tblGrid>
      <w:tr>
        <w:tc>
          <w:tcPr>
            <w:tcW w:type="dxa" w:w="6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w:t>
            </w:r>
          </w:p>
          <w:p>
            <w:pPr>
              <w:jc w:val="left"/>
            </w:pPr>
            <w:r>
              <w:rPr>
                <w:rFonts w:ascii="Arial" w:cs="Arial" w:eastAsia="Arial" w:hAnsi="Arial"/>
                <w:sz w:val="24"/>
                <w:szCs w:val="24"/>
              </w:rPr>
              <w:t xml:space="preserve">причине:</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63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r>
      <w:tr>
        <w:tc>
          <w:tcPr>
            <w:tcW w:type="dxa" w:w="6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9534"/>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Фактическое место проживания:</w:t>
            </w:r>
          </w:p>
          <w:p>
            <w:pPr>
              <w:jc w:val="left"/>
            </w:pPr>
            <w:r>
              <w:rPr>
                <w:rFonts w:ascii="Arial" w:cs="Arial" w:eastAsia="Arial" w:hAnsi="Arial"/>
                <w:sz w:val="24"/>
                <w:szCs w:val="24"/>
              </w:rPr>
              <w:t xml:space="preserve">моб. тел.:</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63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w:t>
            </w:r>
          </w:p>
          <w:p>
            <w:pPr>
              <w:jc w:val="left"/>
            </w:pPr>
            <w:r>
              <w:rPr>
                <w:rFonts w:ascii="Arial" w:cs="Arial" w:eastAsia="Arial" w:hAnsi="Arial"/>
                <w:sz w:val="24"/>
                <w:szCs w:val="24"/>
              </w:rPr>
              <w:t xml:space="preserve">должность:</w:t>
            </w:r>
          </w:p>
        </w:tc>
      </w:tr>
      <w:tr>
        <w:tc>
          <w:tcPr>
            <w:tcW w:type="dxa" w:w="6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534"/>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Наименование и расположение банков, в которых открыты </w:t>
            </w:r>
          </w:p>
          <w:p>
            <w:pPr>
              <w:jc w:val="both"/>
            </w:pPr>
            <w:r>
              <w:rPr>
                <w:rFonts w:ascii="Arial" w:cs="Arial" w:eastAsia="Arial" w:hAnsi="Arial"/>
                <w:sz w:val="24"/>
                <w:szCs w:val="24"/>
              </w:rPr>
              <w:t xml:space="preserve">расчетные и иные счета: _____________________________________</w:t>
            </w:r>
          </w:p>
          <w:p>
            <w:pPr>
              <w:jc w:val="both"/>
            </w:pPr>
            <w:r>
              <w:rPr>
                <w:rFonts w:ascii="Arial" w:cs="Arial" w:eastAsia="Arial" w:hAnsi="Arial"/>
                <w:sz w:val="24"/>
                <w:szCs w:val="24"/>
              </w:rPr>
              <w:t xml:space="preserve">9. ПИН: _________________________________________________</w:t>
            </w:r>
          </w:p>
          <w:p>
            <w:pPr>
              <w:jc w:val="both"/>
            </w:pPr>
            <w:r>
              <w:rPr>
                <w:rFonts w:ascii="Arial" w:cs="Arial" w:eastAsia="Arial" w:hAnsi="Arial"/>
                <w:sz w:val="24"/>
                <w:szCs w:val="24"/>
              </w:rPr>
              <w:t xml:space="preserve">10. Укажите, были ли в отношении вас выдвинуты обвинения в совершении преступления (финансового/экономического и уголовного) в течение последних 3 лет, в том числе в случаях прекращения дела или снятия обвинения (да/нет) ________________________________</w:t>
            </w:r>
          </w:p>
          <w:p>
            <w:pPr>
              <w:jc w:val="both"/>
            </w:pPr>
            <w:r>
              <w:rPr>
                <w:rFonts w:ascii="Arial" w:cs="Arial" w:eastAsia="Arial" w:hAnsi="Arial"/>
                <w:sz w:val="24"/>
                <w:szCs w:val="24"/>
              </w:rPr>
              <w:t xml:space="preserve">11. При наличии неисполненного судебного решения по уплате своих финансовых обязательств перечислите их:</w:t>
            </w:r>
          </w:p>
          <w:p>
            <w:pPr>
              <w:jc w:val="both"/>
            </w:pPr>
            <w:r>
              <w:rPr>
                <w:rFonts w:ascii="Arial" w:cs="Arial" w:eastAsia="Arial" w:hAnsi="Arial"/>
                <w:sz w:val="24"/>
                <w:szCs w:val="24"/>
              </w:rPr>
              <w:t xml:space="preserve">_______________________________________________________________________</w:t>
            </w:r>
          </w:p>
          <w:p>
            <w:pPr>
              <w:jc w:val="both"/>
            </w:pPr>
            <w:r>
              <w:rPr>
                <w:rFonts w:ascii="Arial" w:cs="Arial" w:eastAsia="Arial" w:hAnsi="Arial"/>
                <w:sz w:val="24"/>
                <w:szCs w:val="24"/>
              </w:rPr>
              <w:t xml:space="preserve">12. Я, _______________________________________________________________</w:t>
            </w:r>
          </w:p>
          <w:p>
            <w:pPr>
              <w:jc w:val="center"/>
            </w:pPr>
            <w:r>
              <w:rPr>
                <w:rFonts w:ascii="Arial" w:cs="Arial" w:eastAsia="Arial" w:hAnsi="Arial"/>
                <w:sz w:val="24"/>
                <w:szCs w:val="24"/>
              </w:rPr>
              <w:t xml:space="preserve">(фамилия, имя, отчество)</w:t>
            </w:r>
          </w:p>
          <w:p>
            <w:pPr>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 в соответствии с моими знаниями и информацией по указанным</w:t>
            </w:r>
          </w:p>
          <w:p>
            <w:pPr>
              <w:jc w:val="both"/>
            </w:pPr>
            <w:r>
              <w:rPr>
                <w:rFonts w:ascii="Arial" w:cs="Arial" w:eastAsia="Arial" w:hAnsi="Arial"/>
                <w:sz w:val="24"/>
                <w:szCs w:val="24"/>
              </w:rPr>
              <w:t xml:space="preserve">в анкете вопросам.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 подпись "____" _______________________ г.</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необходимо подписать каждую страницу анкеты;</w:t>
            </w:r>
          </w:p>
          <w:p>
            <w:pPr>
              <w:jc w:val="both"/>
            </w:pPr>
            <w:r>
              <w:rPr>
                <w:rFonts w:ascii="Arial" w:cs="Arial" w:eastAsia="Arial" w:hAnsi="Arial"/>
                <w:sz w:val="24"/>
                <w:szCs w:val="24"/>
              </w:rPr>
              <w:t xml:space="preserve">- исправления в анкете заверяются словами "исправленному верить" и собственноручной подписью.</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eghum3djdcy8od8tzsuan">
        <w:r>
          <w:rPr>
            <w:rFonts w:ascii="Arial" w:cs="Arial" w:eastAsia="Arial" w:hAnsi="Arial"/>
            <w:color w:val="1D4ED8"/>
            <w:sz w:val="24"/>
            <w:szCs w:val="24"/>
            <w:u w:val="single"/>
          </w:rPr>
          <w:t xml:space="preserve">Приложение 4</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oeggykvqikm9kultgb-u" Type="http://schemas.openxmlformats.org/officeDocument/2006/relationships/hyperlink" Target="http://kodeks.duckdns.org/document/112346#st_10" TargetMode="External"/><Relationship Id="rIdl1ucwzbsejjvqt8cgefsa" Type="http://schemas.openxmlformats.org/officeDocument/2006/relationships/hyperlink" Target="http://kodeks.duckdns.org/document/112346#st_16" TargetMode="External"/><Relationship Id="rId_m5mjaigdc0cd8ruzfelk" Type="http://schemas.openxmlformats.org/officeDocument/2006/relationships/hyperlink" Target="http://kodeks.duckdns.org/document/112346#st_18" TargetMode="External"/><Relationship Id="rId2lns4luc-y4t38cxtnw_a" Type="http://schemas.openxmlformats.org/officeDocument/2006/relationships/hyperlink" Target="http://kodeks.duckdns.org/document/112346#st_25" TargetMode="External"/><Relationship Id="rId4oiszva8bm5wxp8byfly-" Type="http://schemas.openxmlformats.org/officeDocument/2006/relationships/hyperlink" Target="http://kodeks.duckdns.org/document/112346#st_27" TargetMode="External"/><Relationship Id="rIdl6zr5ql4kkub-me6cnays" Type="http://schemas.openxmlformats.org/officeDocument/2006/relationships/hyperlink" Target="http://kodeks.duckdns.org/document/112346#st_28" TargetMode="External"/><Relationship Id="rIdqvpgbrx4j5am4tkda2amj" Type="http://schemas.openxmlformats.org/officeDocument/2006/relationships/hyperlink" Target="http://kodeks.duckdns.org/document/112301#st_13" TargetMode="External"/><Relationship Id="rIdh2qknmywbpeudlcif5ut0" Type="http://schemas.openxmlformats.org/officeDocument/2006/relationships/hyperlink" Target="http://kodeks.duckdns.org/document/112301#st_17" TargetMode="External"/><Relationship Id="rIdwswpvdyzz4a8_do4itrlb" Type="http://schemas.openxmlformats.org/officeDocument/2006/relationships/hyperlink" Target="http://kodeks.duckdns.org/document/158757" TargetMode="External"/><Relationship Id="rIdlbhmxnpnygyyzepwr81op" Type="http://schemas.openxmlformats.org/officeDocument/2006/relationships/hyperlink" Target="http://kodeks.duckdns.org/document/158758" TargetMode="External"/><Relationship Id="rIdf2tldccraklrk4g9q8t6e" Type="http://schemas.openxmlformats.org/officeDocument/2006/relationships/hyperlink" Target="http://kodeks.duckdns.org/document/158757" TargetMode="External"/><Relationship Id="rIdz3ahy8dyligdx4ytxbmff" Type="http://schemas.openxmlformats.org/officeDocument/2006/relationships/hyperlink" Target="http://kodeks.duckdns.org/document/158758#p3" TargetMode="External"/><Relationship Id="rIdiq7i9vpcz93fbs4k9xblw" Type="http://schemas.openxmlformats.org/officeDocument/2006/relationships/hyperlink" Target="http://kodeks.duckdns.org/document/158758#p14" TargetMode="External"/><Relationship Id="rIdj_qwftfxh5baso7hwozx6" Type="http://schemas.openxmlformats.org/officeDocument/2006/relationships/hyperlink" Target="http://kodeks.duckdns.org/document/158758#p20" TargetMode="External"/><Relationship Id="rId508b53ewuarsbuf1ads2p" Type="http://schemas.openxmlformats.org/officeDocument/2006/relationships/hyperlink" Target="http://kodeks.duckdns.org/document/159461" TargetMode="External"/><Relationship Id="rId3dzpoykexpe9ynmpqxrd6" Type="http://schemas.openxmlformats.org/officeDocument/2006/relationships/hyperlink" Target="http://kodeks.duckdns.org/document/159530" TargetMode="External"/><Relationship Id="rIdd3ihsmfbxr3p13e5atrbo" Type="http://schemas.openxmlformats.org/officeDocument/2006/relationships/hyperlink" Target="http://kodeks.duckdns.org/document/159461" TargetMode="External"/><Relationship Id="rIdyrkdjfyoiwixx9grsgxgo" Type="http://schemas.openxmlformats.org/officeDocument/2006/relationships/hyperlink" Target="http://kodeks.duckdns.org/document/159530#p2" TargetMode="External"/><Relationship Id="rIdw9s15tezuqcjszreehjbl" Type="http://schemas.openxmlformats.org/officeDocument/2006/relationships/hyperlink" Target="http://kodeks.duckdns.org/document/159530#p5" TargetMode="External"/><Relationship Id="rId8hg67fl68jf9ps7rns0jr" Type="http://schemas.openxmlformats.org/officeDocument/2006/relationships/hyperlink" Target="http://kodeks.duckdns.org/document/159530#p11" TargetMode="External"/><Relationship Id="rIda4mtgu4yzi5n38w4df7nf" Type="http://schemas.openxmlformats.org/officeDocument/2006/relationships/hyperlink" Target="http://kodeks.duckdns.org/document/159530#p18" TargetMode="External"/><Relationship Id="rIdr0yyxikujymarbereowt7" Type="http://schemas.openxmlformats.org/officeDocument/2006/relationships/hyperlink" Target="http://kodeks.duckdns.org/document/159530#p18_1" TargetMode="External"/><Relationship Id="rIdvd99qggzrl1sfgtyd1ltv" Type="http://schemas.openxmlformats.org/officeDocument/2006/relationships/hyperlink" Target="http://kodeks.duckdns.org/document/159530#p23" TargetMode="External"/><Relationship Id="rIdb4rcaab1dlqshupngs0no" Type="http://schemas.openxmlformats.org/officeDocument/2006/relationships/hyperlink" Target="http://kodeks.duckdns.org/document/159530#p25_1" TargetMode="External"/><Relationship Id="rIdcdbcbxtkcayomwjnp9kqg" Type="http://schemas.openxmlformats.org/officeDocument/2006/relationships/hyperlink" Target="http://kodeks.duckdns.org/document/112346" TargetMode="External"/><Relationship Id="rIdutbkva8yygl5uaq2asjgi" Type="http://schemas.openxmlformats.org/officeDocument/2006/relationships/hyperlink" Target="http://kodeks.duckdns.org/document/159530#p29" TargetMode="External"/><Relationship Id="rIdoayhlqymaovgo8fwumx8l" Type="http://schemas.openxmlformats.org/officeDocument/2006/relationships/hyperlink" Target="http://kodeks.duckdns.org/document/159530#p30" TargetMode="External"/><Relationship Id="rIdmufvfoiqak0_0atxrce1v" Type="http://schemas.openxmlformats.org/officeDocument/2006/relationships/hyperlink" Target="http://kodeks.duckdns.org/document/159530#p30_1" TargetMode="External"/><Relationship Id="rIdfxnikrgb_pgddbgdg0h5y" Type="http://schemas.openxmlformats.org/officeDocument/2006/relationships/hyperlink" Target="http://kodeks.duckdns.org/document/159530#pr2" TargetMode="External"/><Relationship Id="rIdpmviy4qdc-zyhdqxizavn" Type="http://schemas.openxmlformats.org/officeDocument/2006/relationships/hyperlink" Target="http://kodeks.duckdns.org/document/159530#p35" TargetMode="External"/><Relationship Id="rId5qhvrzbn2ums6nttwxjqu" Type="http://schemas.openxmlformats.org/officeDocument/2006/relationships/hyperlink" Target="http://kodeks.duckdns.org/document/159530#g8" TargetMode="External"/><Relationship Id="rIdwuq4enwukzkftgzoczbue" Type="http://schemas.openxmlformats.org/officeDocument/2006/relationships/hyperlink" Target="http://kodeks.duckdns.org/document/159530#p39_1" TargetMode="External"/><Relationship Id="rId3pv1d3cwdd4kg0jjtlrxw" Type="http://schemas.openxmlformats.org/officeDocument/2006/relationships/hyperlink" Target="http://kodeks.duckdns.org/document/159530#p51" TargetMode="External"/><Relationship Id="rIdmnzdddalqfcnqmea8nyt3" Type="http://schemas.openxmlformats.org/officeDocument/2006/relationships/hyperlink" Target="http://kodeks.duckdns.org/document/159530#pr1" TargetMode="External"/><Relationship Id="rIdszq4gkpc7nwejra-0n31j" Type="http://schemas.openxmlformats.org/officeDocument/2006/relationships/hyperlink" Target="http://kodeks.duckdns.org/document/159530#pr2" TargetMode="External"/><Relationship Id="rIdigzd8ey0fzaxb5z4xtr_w" Type="http://schemas.openxmlformats.org/officeDocument/2006/relationships/hyperlink" Target="http://kodeks.duckdns.org/document/159530#pr3" TargetMode="External"/><Relationship Id="rIdaqd06za2ismz_wabngy-n" Type="http://schemas.openxmlformats.org/officeDocument/2006/relationships/hyperlink" Target="http://kodeks.duckdns.org/document/159530#g16" TargetMode="External"/><Relationship Id="rId2xr-il8ehw8lbmvnijy4w" Type="http://schemas.openxmlformats.org/officeDocument/2006/relationships/hyperlink" Target="http://kodeks.duckdns.org/document/159530#p90" TargetMode="External"/><Relationship Id="rIdjqdxtvs90iuwfdlgtwqro" Type="http://schemas.openxmlformats.org/officeDocument/2006/relationships/hyperlink" Target="http://kodeks.duckdns.org/document/159530#p90_1" TargetMode="External"/><Relationship Id="rIdpvxhuklmb8blwzhcxubxv" Type="http://schemas.openxmlformats.org/officeDocument/2006/relationships/hyperlink" Target="http://kodeks.duckdns.org/document/159530#pr2" TargetMode="External"/><Relationship Id="rIdysyncu_anvafhk8rr1sv-" Type="http://schemas.openxmlformats.org/officeDocument/2006/relationships/hyperlink" Target="http://kodeks.duckdns.org/document/159530" TargetMode="External"/><Relationship Id="rIdlsls36cjh6slokyrwa3qt" Type="http://schemas.openxmlformats.org/officeDocument/2006/relationships/hyperlink" Target="http://kodeks.duckdns.org/document/159530#pr3" TargetMode="External"/><Relationship Id="rIdbdbdwimdxuj6zwnfi9zs3" Type="http://schemas.openxmlformats.org/officeDocument/2006/relationships/hyperlink" Target="http://kodeks.duckdns.org/document/159530" TargetMode="External"/><Relationship Id="rIdoo0pdwnuhp_eas0mwjbzb" Type="http://schemas.openxmlformats.org/officeDocument/2006/relationships/hyperlink" Target="http://kodeks.duckdns.org/document/159530" TargetMode="External"/><Relationship Id="rIdtxvg7cx0cpyp6nh7zbbpi" Type="http://schemas.openxmlformats.org/officeDocument/2006/relationships/hyperlink" Target="http://kodeks.duckdns.org/document/159531" TargetMode="External"/><Relationship Id="rIdkbviljos-akx7gzwwbzuk" Type="http://schemas.openxmlformats.org/officeDocument/2006/relationships/hyperlink" Target="http://kodeks.duckdns.org/document/159461" TargetMode="External"/><Relationship Id="rIdbmpkgdh1wqepluzc8hbxs" Type="http://schemas.openxmlformats.org/officeDocument/2006/relationships/hyperlink" Target="http://kodeks.duckdns.org/document/159531#p1" TargetMode="External"/><Relationship Id="rId5iv-b-cgh_-b-nqgpdkrg" Type="http://schemas.openxmlformats.org/officeDocument/2006/relationships/hyperlink" Target="http://kodeks.duckdns.org/document/159531#p2" TargetMode="External"/><Relationship Id="rIdbhp4fd7rvfwrpyrwiqdxq" Type="http://schemas.openxmlformats.org/officeDocument/2006/relationships/hyperlink" Target="http://kodeks.duckdns.org/document/159531#g1" TargetMode="External"/><Relationship Id="rIdbleeitzmc4jwouefytwqk" Type="http://schemas.openxmlformats.org/officeDocument/2006/relationships/hyperlink" Target="http://kodeks.duckdns.org/document/159531#p3_1" TargetMode="External"/><Relationship Id="rIdikx41bib0u83xy3f7kam_" Type="http://schemas.openxmlformats.org/officeDocument/2006/relationships/hyperlink" Target="http://kodeks.duckdns.org/document/159531#p3_11" TargetMode="External"/><Relationship Id="rIdwpoawckegx6vnoyk0rtkr" Type="http://schemas.openxmlformats.org/officeDocument/2006/relationships/hyperlink" Target="http://kodeks.duckdns.org/document/159531#p4" TargetMode="External"/><Relationship Id="rIdtt15swko3opeu8ng-8g4s" Type="http://schemas.openxmlformats.org/officeDocument/2006/relationships/hyperlink" Target="http://kodeks.duckdns.org/document/159531#p5" TargetMode="External"/><Relationship Id="rIdgcoa8loeqc5ycio7jpr8r" Type="http://schemas.openxmlformats.org/officeDocument/2006/relationships/hyperlink" Target="http://kodeks.duckdns.org/document/159531#pr1" TargetMode="External"/><Relationship Id="rIdhg6mpxagnjt6qk6as-mwz" Type="http://schemas.openxmlformats.org/officeDocument/2006/relationships/hyperlink" Target="http://kodeks.duckdns.org/document/159531#g3" TargetMode="External"/><Relationship Id="rIdsogcgv99fj_miglrdwkqp" Type="http://schemas.openxmlformats.org/officeDocument/2006/relationships/hyperlink" Target="http://kodeks.duckdns.org/document/159531#g4" TargetMode="External"/><Relationship Id="rIdrh2qtb8bnvzyryboot-hn" Type="http://schemas.openxmlformats.org/officeDocument/2006/relationships/hyperlink" Target="http://kodeks.duckdns.org/document/159531#g7" TargetMode="External"/><Relationship Id="rIdsqy3t-vvl14fpmspqmvs5" Type="http://schemas.openxmlformats.org/officeDocument/2006/relationships/hyperlink" Target="http://kodeks.duckdns.org/document/159531#p13" TargetMode="External"/><Relationship Id="rIdm9mvf22r51lph85xs3nbw" Type="http://schemas.openxmlformats.org/officeDocument/2006/relationships/hyperlink" Target="http://kodeks.duckdns.org/document/159531#p15" TargetMode="External"/><Relationship Id="rIdrwyhmedhkwtrmwshh3k13" Type="http://schemas.openxmlformats.org/officeDocument/2006/relationships/hyperlink" Target="http://kodeks.duckdns.org/document/159531#p19" TargetMode="External"/><Relationship Id="rIdbioyunpuaku6fo3uzogo8" Type="http://schemas.openxmlformats.org/officeDocument/2006/relationships/hyperlink" Target="http://kodeks.duckdns.org/document/159531#p28" TargetMode="External"/><Relationship Id="rId-_3zyc6kmwgfzklokbfqg" Type="http://schemas.openxmlformats.org/officeDocument/2006/relationships/hyperlink" Target="http://kodeks.duckdns.org/document/159531#p8" TargetMode="External"/><Relationship Id="rIdnd-82hpdof6_r8bfd4wrv" Type="http://schemas.openxmlformats.org/officeDocument/2006/relationships/hyperlink" Target="http://kodeks.duckdns.org/document/159531#p9" TargetMode="External"/><Relationship Id="rIdn0u_rrg-l_z-kysa4t1wn" Type="http://schemas.openxmlformats.org/officeDocument/2006/relationships/hyperlink" Target="http://kodeks.duckdns.org/document/159531#p11" TargetMode="External"/><Relationship Id="rIdrjh2ricanaorx37xnpk0z" Type="http://schemas.openxmlformats.org/officeDocument/2006/relationships/hyperlink" Target="http://kodeks.duckdns.org/document/159531#pr3" TargetMode="External"/><Relationship Id="rIdh56od8dnsqegt3whjmewe" Type="http://schemas.openxmlformats.org/officeDocument/2006/relationships/hyperlink" Target="http://kodeks.duckdns.org/document/159531#pr4" TargetMode="External"/><Relationship Id="rIdlslevompnjkuof-mdz_oz" Type="http://schemas.openxmlformats.org/officeDocument/2006/relationships/hyperlink" Target="http://kodeks.duckdns.org/document/159531#pr5" TargetMode="External"/><Relationship Id="rIdkhy0qzhn8rwujnu2gurvt" Type="http://schemas.openxmlformats.org/officeDocument/2006/relationships/hyperlink" Target="http://kodeks.duckdns.org/document/159531#p17" TargetMode="External"/><Relationship Id="rIdstdkxsw8m0yczu0xwsoyo" Type="http://schemas.openxmlformats.org/officeDocument/2006/relationships/hyperlink" Target="http://kodeks.duckdns.org/document/159531#p20" TargetMode="External"/><Relationship Id="rIdbyodthzyrzkpallblm1f4" Type="http://schemas.openxmlformats.org/officeDocument/2006/relationships/hyperlink" Target="http://kodeks.duckdns.org/document/159531#p26" TargetMode="External"/><Relationship Id="rIdizgfmfdcd0lqcew_eyw3b" Type="http://schemas.openxmlformats.org/officeDocument/2006/relationships/hyperlink" Target="http://kodeks.duckdns.org/document/159531#p27" TargetMode="External"/><Relationship Id="rIdqw7eagagtwks6c8lb91rp" Type="http://schemas.openxmlformats.org/officeDocument/2006/relationships/hyperlink" Target="http://kodeks.duckdns.org/document/159531#p31" TargetMode="External"/><Relationship Id="rIdrzwngdzzvvsemuur2gwiq" Type="http://schemas.openxmlformats.org/officeDocument/2006/relationships/hyperlink" Target="http://kodeks.duckdns.org/document/159531#pr4" TargetMode="External"/><Relationship Id="rIdrvxb5ls4erymtrsqnqz_j" Type="http://schemas.openxmlformats.org/officeDocument/2006/relationships/hyperlink" Target="http://kodeks.duckdns.org/document/159531#pr6" TargetMode="External"/><Relationship Id="rIdmkfivvbzz-osb0yw-dqbe" Type="http://schemas.openxmlformats.org/officeDocument/2006/relationships/hyperlink" Target="http://kodeks.duckdns.org/document/159531#p32" TargetMode="External"/><Relationship Id="rIdume0fnq-yb1l2cqzaxgec" Type="http://schemas.openxmlformats.org/officeDocument/2006/relationships/hyperlink" Target="http://kodeks.duckdns.org/document/159531#pr1" TargetMode="External"/><Relationship Id="rIdqksbqlv2puinq2fvamgxx" Type="http://schemas.openxmlformats.org/officeDocument/2006/relationships/hyperlink" Target="http://kodeks.duckdns.org/document/159531#pr2" TargetMode="External"/><Relationship Id="rIdsqokudx9sgm-1pbsshfd6" Type="http://schemas.openxmlformats.org/officeDocument/2006/relationships/hyperlink" Target="http://kodeks.duckdns.org/document/159531#pr3" TargetMode="External"/><Relationship Id="rId5nomrsq7mx7o6w_0cgk8q" Type="http://schemas.openxmlformats.org/officeDocument/2006/relationships/hyperlink" Target="http://kodeks.duckdns.org/document/159531#pr6" TargetMode="External"/><Relationship Id="rIdd4ybfn0ba3tpt5zdtex-c" Type="http://schemas.openxmlformats.org/officeDocument/2006/relationships/hyperlink" Target="http://kodeks.duckdns.org/document/159532#pr" TargetMode="External"/><Relationship Id="rIdjysadhsdnu-6nusllveka" Type="http://schemas.openxmlformats.org/officeDocument/2006/relationships/hyperlink" Target="http://kodeks.duckdns.org/document/159461" TargetMode="External"/><Relationship Id="rIdvhuswbpo9odtwzso22dqf" Type="http://schemas.openxmlformats.org/officeDocument/2006/relationships/hyperlink" Target="http://kodeks.duckdns.org/document/230034589" TargetMode="External"/><Relationship Id="rId9fieh5hjkjsphzbtn_05h" Type="http://schemas.openxmlformats.org/officeDocument/2006/relationships/hyperlink" Target="http://kodeks.duckdns.org/document/159533" TargetMode="External"/><Relationship Id="rIdgjmyo3lq7q6kpkpl3a1mc" Type="http://schemas.openxmlformats.org/officeDocument/2006/relationships/hyperlink" Target="http://kodeks.duckdns.org/document/159461" TargetMode="External"/><Relationship Id="rIdmurownoyy6_nobcoll9wd" Type="http://schemas.openxmlformats.org/officeDocument/2006/relationships/hyperlink" Target="http://kodeks.duckdns.org/document/159533#p2" TargetMode="External"/><Relationship Id="rIdyvvkrjqbg20jpfwumgn_1" Type="http://schemas.openxmlformats.org/officeDocument/2006/relationships/hyperlink" Target="http://kodeks.duckdns.org/document/159533#g1" TargetMode="External"/><Relationship Id="rIdwcto6qif9pzj41ioyt244" Type="http://schemas.openxmlformats.org/officeDocument/2006/relationships/hyperlink" Target="http://kodeks.duckdns.org/document/159533#p3_1" TargetMode="External"/><Relationship Id="rIdhtma9ra6d_lyhf2n4fn2p" Type="http://schemas.openxmlformats.org/officeDocument/2006/relationships/hyperlink" Target="http://kodeks.duckdns.org/document/159533#g4" TargetMode="External"/><Relationship Id="rId1weq81bztnjodqspmlvww" Type="http://schemas.openxmlformats.org/officeDocument/2006/relationships/hyperlink" Target="http://kodeks.duckdns.org/document/159533#p11_1" TargetMode="External"/><Relationship Id="rIdroon0nl09irc8dg6o-sw_" Type="http://schemas.openxmlformats.org/officeDocument/2006/relationships/hyperlink" Target="http://kodeks.duckdns.org/document/159533#g6" TargetMode="External"/><Relationship Id="rIdyg30aewpm2vawylloh44-" Type="http://schemas.openxmlformats.org/officeDocument/2006/relationships/hyperlink" Target="http://kodeks.duckdns.org/document/159533#p21_1" TargetMode="External"/><Relationship Id="rIdgjn84_wflx37a0nqk7dvw" Type="http://schemas.openxmlformats.org/officeDocument/2006/relationships/hyperlink" Target="http://kodeks.duckdns.org/document/159533#g9" TargetMode="External"/><Relationship Id="rIdcpj_w6udljji6og79h7rq" Type="http://schemas.openxmlformats.org/officeDocument/2006/relationships/hyperlink" Target="http://kodeks.duckdns.org/document/159533#g12" TargetMode="External"/><Relationship Id="rIdruk8inolx7rvffc-9jo7q" Type="http://schemas.openxmlformats.org/officeDocument/2006/relationships/hyperlink" Target="http://kodeks.duckdns.org/document/159533#g9" TargetMode="External"/><Relationship Id="rIdjc3uobtrewlm7kech3bw2" Type="http://schemas.openxmlformats.org/officeDocument/2006/relationships/hyperlink" Target="http://kodeks.duckdns.org/document/159533#g10" TargetMode="External"/><Relationship Id="rIdzhu_b9vjqjrrinmvk6t2n" Type="http://schemas.openxmlformats.org/officeDocument/2006/relationships/hyperlink" Target="http://kodeks.duckdns.org/document/159533#g1" TargetMode="External"/><Relationship Id="rIdj62avy5ztg_a2rx7ie8n1" Type="http://schemas.openxmlformats.org/officeDocument/2006/relationships/hyperlink" Target="http://kodeks.duckdns.org/document/159533#g7" TargetMode="External"/><Relationship Id="rIdpyvmtrnnymifbgnosvrqh" Type="http://schemas.openxmlformats.org/officeDocument/2006/relationships/hyperlink" Target="http://kodeks.duckdns.org/document/159533#p11" TargetMode="External"/><Relationship Id="rIdhckkl0ghwuff2lgwxqhfy" Type="http://schemas.openxmlformats.org/officeDocument/2006/relationships/hyperlink" Target="http://kodeks.duckdns.org/document/159533#pr4" TargetMode="External"/><Relationship Id="rIdjtlrhnqsfuilhu5-96fju" Type="http://schemas.openxmlformats.org/officeDocument/2006/relationships/hyperlink" Target="http://kodeks.duckdns.org/document/159533#g11" TargetMode="External"/><Relationship Id="rId08yg-n4goeoohszcfyrnx" Type="http://schemas.openxmlformats.org/officeDocument/2006/relationships/hyperlink" Target="http://kodeks.duckdns.org/document/159533#g12" TargetMode="External"/><Relationship Id="rId_d9r6pem36y1mg-uofseg" Type="http://schemas.openxmlformats.org/officeDocument/2006/relationships/hyperlink" Target="http://kodeks.duckdns.org/document/111254" TargetMode="External"/><Relationship Id="rIdapt_rwkpviynbmrev5e2r" Type="http://schemas.openxmlformats.org/officeDocument/2006/relationships/hyperlink" Target="http://kodeks.duckdns.org/document/159533#pr4" TargetMode="External"/><Relationship Id="rIddm6kgx-ydvc1fvqocijy2" Type="http://schemas.openxmlformats.org/officeDocument/2006/relationships/hyperlink" Target="http://kodeks.duckdns.org/document/230034589" TargetMode="External"/><Relationship Id="rIdhptxnhktpchqs5-cplamk" Type="http://schemas.openxmlformats.org/officeDocument/2006/relationships/hyperlink" Target="http://kodeks.duckdns.org/document/159531#pr1" TargetMode="External"/><Relationship Id="rIdn84shhg2srbzvt0cxprih" Type="http://schemas.openxmlformats.org/officeDocument/2006/relationships/hyperlink" Target="http://kodeks.duckdns.org/document/159531#pr2" TargetMode="External"/><Relationship Id="rIdvmdb2mqktejfaylveuzes" Type="http://schemas.openxmlformats.org/officeDocument/2006/relationships/hyperlink" Target="http://kodeks.duckdns.org/document/159532#pr" TargetMode="External"/><Relationship Id="rIdwoueubxpg5rld6qqevxtc" Type="http://schemas.openxmlformats.org/officeDocument/2006/relationships/hyperlink" Target="http://kodeks.duckdns.org/document/112346#st_25" TargetMode="External"/><Relationship Id="rIdgwmllllti86-31droimot" Type="http://schemas.openxmlformats.org/officeDocument/2006/relationships/hyperlink" Target="http://kodeks.duckdns.org/document/112346#st_27" TargetMode="External"/><Relationship Id="rIdqlan6nywwa0nksc0_dih7" Type="http://schemas.openxmlformats.org/officeDocument/2006/relationships/hyperlink" Target="http://kodeks.duckdns.org/document/112346#st_30" TargetMode="External"/><Relationship Id="rIdyuzwpffej0v1hhbfqpa5d" Type="http://schemas.openxmlformats.org/officeDocument/2006/relationships/hyperlink" Target="http://kodeks.duckdns.org/document/112346" TargetMode="External"/><Relationship Id="rIdkxzhcvpoupueak3y_0ld7" Type="http://schemas.openxmlformats.org/officeDocument/2006/relationships/hyperlink" Target="http://kodeks.duckdns.org/document/159532#pr1" TargetMode="External"/><Relationship Id="rId9paltibupwsiw-jfxgx5h" Type="http://schemas.openxmlformats.org/officeDocument/2006/relationships/hyperlink" Target="http://kodeks.duckdns.org/document/159532#pr2" TargetMode="External"/><Relationship Id="rIdajvuu_ers8ouc4sjtsikj" Type="http://schemas.openxmlformats.org/officeDocument/2006/relationships/hyperlink" Target="http://kodeks.duckdns.org/document/159532#pr1" TargetMode="External"/><Relationship Id="rIdygboe9cl-vxw1zxgawxht" Type="http://schemas.openxmlformats.org/officeDocument/2006/relationships/hyperlink" Target="http://kodeks.duckdns.org/document/112346" TargetMode="External"/><Relationship Id="rIdqarpypkh-wl6n4gvyqdvv" Type="http://schemas.openxmlformats.org/officeDocument/2006/relationships/hyperlink" Target="http://kodeks.duckdns.org/document/112346" TargetMode="External"/><Relationship Id="rIdeo4-dtxktu9540q8ty4qg" Type="http://schemas.openxmlformats.org/officeDocument/2006/relationships/hyperlink" Target="http://kodeks.duckdns.org/document/112346" TargetMode="External"/><Relationship Id="rIds_z35exdw3n1_risyk_gc" Type="http://schemas.openxmlformats.org/officeDocument/2006/relationships/hyperlink" Target="http://kodeks.duckdns.org/document/112346" TargetMode="External"/><Relationship Id="rIdiddqyem4_ov9o11zrtidh" Type="http://schemas.openxmlformats.org/officeDocument/2006/relationships/hyperlink" Target="http://kodeks.duckdns.org/document/159532#pr1" TargetMode="External"/><Relationship Id="rId-clhz6d1zeprhtziicr_h" Type="http://schemas.openxmlformats.org/officeDocument/2006/relationships/hyperlink" Target="http://kodeks.duckdns.org/document/159532#pr2" TargetMode="External"/><Relationship Id="rIdwkrbnv1v0cjzaujkv9vvd" Type="http://schemas.openxmlformats.org/officeDocument/2006/relationships/hyperlink" Target="http://kodeks.duckdns.org/document/202269" TargetMode="External"/><Relationship Id="rIdeghum3djdcy8od8tzsuan" Type="http://schemas.openxmlformats.org/officeDocument/2006/relationships/hyperlink" Target="http://kodeks.duckdns.org/document/159533#pr4" TargetMode="External"/><Relationship Id="rId7" Type="http://schemas.openxmlformats.org/officeDocument/2006/relationships/image" Target="media/93bec1c1538034512fe33c1434ae0ea86b639d33.png"/><Relationship Id="rId1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2026-09-22T23:44:54.547Z</dcterms:created>
  <dcterms:modified xsi:type="dcterms:W3CDTF">2026-09-22T23:44:54.548Z</dcterms:modified>
</cp:coreProperties>
</file>

<file path=docProps/custom.xml><?xml version="1.0" encoding="utf-8"?>
<Properties xmlns="http://schemas.openxmlformats.org/officeDocument/2006/custom-properties" xmlns:vt="http://schemas.openxmlformats.org/officeDocument/2006/docPropsVTypes"/>
</file>