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«О Национальном институте стратегических инициатив при Президенте Кыргызской Республики» от 12 апреля 2024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государственного управления, нацеленной на служение интересам общества, улучшения качества оказываемых населению услуг, с учетом Национальной программы развития Кыргызской Республики до 2026 года, утвержденной </w:t>
      </w:r>
      <w:hyperlink w:history="1" r:id="rIdbicvqocjgaojk-lz1vz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flcul-kohgnhvedmw6a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года» от 12 октября 2021 года № 435, </w:t>
      </w:r>
      <w:hyperlink w:history="1" r:id="rIdu-zbpgu_84os5pkrauj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2023–2026 годы, утвержденной </w:t>
      </w:r>
      <w:hyperlink w:history="1" r:id="rIdbm3fhqmdivtkhkjcu_2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Концепции правовой политики Кыргызской Республики на 2023–2026 годы» от 31 мая 2023 года № 146, руководствуясь 
 статьями 66, 71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9_md1ybwzip6p9swtp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«О Национальном институте стратегических инициатив при Президенте Кыргызской Республики» от 12 апреля 2024 года № 94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zjfykweifzhlq9xutg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института стратегических инициатив при Президенте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дополнить абзацами пятым, шестым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выработка мер по дебюрократизации административно-функциональных процессов в </w:t>
      </w:r>
      <w:r>
        <w:rPr>
          <w:rFonts w:ascii="Arial" w:cs="Arial" w:eastAsia="Arial" w:hAnsi="Arial"/>
          <w:sz w:val="24"/>
          <w:szCs w:val="24"/>
        </w:rPr>
        <w:t xml:space="preserve">деятельности органов государственной власти</w:t>
      </w:r>
      <w:r>
        <w:rPr>
          <w:rFonts w:ascii="Arial" w:cs="Arial" w:eastAsia="Arial" w:hAnsi="Arial"/>
          <w:sz w:val="24"/>
          <w:szCs w:val="24"/>
        </w:rPr>
        <w:t xml:space="preserve">, повышению </w:t>
      </w:r>
      <w:r>
        <w:rPr>
          <w:rFonts w:ascii="Arial" w:cs="Arial" w:eastAsia="Arial" w:hAnsi="Arial"/>
          <w:sz w:val="24"/>
          <w:szCs w:val="24"/>
        </w:rPr>
        <w:t xml:space="preserve">эффективности управленческих подходов и оптимизации механизмов межведомственного взаимодействия;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выработка мер по </w:t>
      </w:r>
      <w:r>
        <w:rPr>
          <w:rFonts w:ascii="Arial" w:cs="Arial" w:eastAsia="Arial" w:hAnsi="Arial"/>
          <w:sz w:val="24"/>
          <w:szCs w:val="24"/>
        </w:rPr>
        <w:t xml:space="preserve">дебюрократизации </w:t>
      </w:r>
      <w:r>
        <w:rPr>
          <w:rFonts w:ascii="Arial" w:cs="Arial" w:eastAsia="Arial" w:hAnsi="Arial"/>
          <w:sz w:val="24"/>
          <w:szCs w:val="24"/>
        </w:rPr>
        <w:t xml:space="preserve">нормативно-правового регулирования деятельности органов государственной власти, оценке целесообразности передачи на аутсорсинг отдельных функций органов государственной власти с сохранением за государством функций мониторинга и контроля, возможности дерегулирования некоторых общественных отношений, а также целесообразности сохранения режима детального государственного регулирования («государственной монополии») в соответствующих сферах;».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Указа осуществляется в пределах штатной численности, утвержденной для Национального института стратегических инициатив при Президенте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марта 2025 года № 21 (3677)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vrnazd46aikxeiuyb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dalil.kg/document/230035083</w:t>
      </w:r>
    </w:hyperlink>
  </w:p>
  <w:p>
    <w:pPr>
      <w:spacing w:after="0" w:before="40"/>
      <w:jc w:val="center"/>
    </w:pPr>
    <w:hyperlink w:history="1" r:id="rIdjmlfdiamwgpcemrfeoz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cvqocjgaojk-lz1vzor" Type="http://schemas.openxmlformats.org/officeDocument/2006/relationships/hyperlink" Target="https://dalil.kg/document/430699" TargetMode="External"/><Relationship Id="rIdflcul-kohgnhvedmw6afz" Type="http://schemas.openxmlformats.org/officeDocument/2006/relationships/hyperlink" Target="https://dalil.kg/document/430700" TargetMode="External"/><Relationship Id="rIdu-zbpgu_84os5pkraujza" Type="http://schemas.openxmlformats.org/officeDocument/2006/relationships/hyperlink" Target="https://dalil.kg/document/435056" TargetMode="External"/><Relationship Id="rIdbm3fhqmdivtkhkjcu_2az" Type="http://schemas.openxmlformats.org/officeDocument/2006/relationships/hyperlink" Target="https://dalil.kg/document/435055" TargetMode="External"/><Relationship Id="rIds9_md1ybwzip6p9swtpao" Type="http://schemas.openxmlformats.org/officeDocument/2006/relationships/hyperlink" Target="https://dalil.kg/document/230004347" TargetMode="External"/><Relationship Id="rIdizjfykweifzhlq9xutgvg" Type="http://schemas.openxmlformats.org/officeDocument/2006/relationships/hyperlink" Target="https://dalil.kg/document/23000435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vrnazd46aikxeiuybtz" Type="http://schemas.openxmlformats.org/officeDocument/2006/relationships/hyperlink" Target="https://dalil.kg/document/230035083" TargetMode="External"/><Relationship Id="rIdjmlfdiamwgpcemrfeoz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2026-09-24T06:16:43.876Z</dcterms:created>
  <dcterms:modified xsi:type="dcterms:W3CDTF">2026-09-24T06:16:43.876Z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