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Реализация государственных регистрационных номерных знаков с особенной комбинацией цифр и/или букв путем </w:t>
      </w:r>
      <w:r>
        <w:rPr>
          <w:rFonts w:ascii="Arial" w:cs="Arial" w:eastAsia="Arial" w:hAnsi="Arial"/>
          <w:sz w:val="24"/>
          <w:szCs w:val="24"/>
        </w:rPr>
        <w:t xml:space="preserve">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Реализация государственных регистрационных номерных знаков с особенной комбинацией цифр </w:t>
      </w:r>
      <w:r>
        <w:rPr>
          <w:rFonts w:ascii="Arial" w:cs="Arial" w:eastAsia="Arial" w:hAnsi="Arial"/>
          <w:sz w:val="24"/>
          <w:szCs w:val="24"/>
        </w:rPr>
        <w:t xml:space="preserve">и/или букв без 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Выдача государственного регистрационного номерного знака с особенной комбинацией цифр и/или букв и порядок передачи права собственности на сертификат на бумажном </w:t>
      </w:r>
      <w:r>
        <w:rPr>
          <w:rFonts w:ascii="Arial" w:cs="Arial" w:eastAsia="Arial" w:hAnsi="Arial"/>
          <w:sz w:val="24"/>
          <w:szCs w:val="24"/>
        </w:rPr>
        <w:t xml:space="preserve">носителе/сертификат в электронном виде другому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государственных регистрационных номерных знаков с особенной комбинацией цифр и/или букв на автотранспортные средства регулирует вопросы, связанные с реализацией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государственных регистрационных номерных знаков с особенной комбинацией цифр и/или букв осуществляется путем проведения онлайн-аукциона, а также без его проведения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и стоимость государственных регистрационных номерных знаков с особенной комбинацией цифр на автотранспортные средства (далее – Перечень 1) определяются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 и в средствах массовой информации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и стоимость государственных регистрационных номерных знаков с особенной комбинацией букв на автотранспортные средства (далее – Перечень 2) определяются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органа, а также в средствах массовой информации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–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–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– цена номерного знака с особенной комбинацией цифр и/или букв, установленная начальной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–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–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– участник, победивший на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центр по регистрации транспортных средств и водительского состава при Управлении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– документ/электронный документ установленной формы, подтверждающий факт приобретения номерного знака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Реализация государственных регистрационных номерных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знаков с особенной комбинацией цифр и/или букв путем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Номерные знаки с особенной комбинацией цифр, указанные в пунктах 1–4 Перечня 1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реализуются на онлайн-аукционе.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 Кыргызской Республики (далее – гражданин), желающий приобрести посредством участия в онлайн-аукционе номерной знак с особенной комбинацией цифр, приведенных в пунктах 1–4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может указать в дополнение к нему особенную комбинацию букв в соответствии с Перечнем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сформировать соответствующую электронную заявку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проведения обработки, включающей в себя проверку на соответствие требованиям Перечня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сформированная на сайте уполномоченного органа электронная заявка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стартовая стоимость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проведении онлайн-аукциона, руководство о порядке регистрации размещаются на сайте уполномоченного органа не позднее 10 календарных дней до даты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информационном сообщении должны содержаться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выставляемый на онлайн-аукцион номерной знак, содержащий особенную комбинацию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стартовая цена выставляемого на онлайн-аукцион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размер шага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формат проведения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период регистрации на участие в онлайн-аукционе;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телефона, адрес и другие контактные данные, где можно получить информацию по проводимому онлайн-аукциону.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желающий приобрести номерной знак с особенной комбинацией цифр и/или букв, реализуемый на онлайн-аукционе: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для регистрации участия в онлайн-аукционе процедуру первичной регистрации, в ходе которой вводит следующие реквизиты для создания на сайте уполномоченного органа личного кабинета: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серия и номер действующего паспорта гражданина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дополнительные данные в соответствии с руководством о порядке регистрации, размещенном на сайте уполномоченного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указанный в электронной заявке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подтверждает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Гражданин, не зарегистрировавшийся в установленном порядке для участия в онлайн-аукционе и не подтвердивший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органа, к участию в онлайн-аукционе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Шаг онлайн-аукциона на номерные знаки с особенной комбинацией цифр и/или букв, приведенных в пунктах 1–3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в Перечне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составляет 2000 (две тысячи) сомов, на номерные знаки с особенной комбинацией цифр, указанных в пункте 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составляет 500 (пятьсот)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Победителем онлайн-аукциона определяется участник, установивший наиболее высокую цену за номерной знак, которая не повысилась другим участником в течение 5 (пять)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онлайн-аукциона отражаются в отчете, формируемом автоматически системой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отражаются сведения: о победителе онлайн-аукциона, номерном знаке с особенной комбинацией цифр и/или букв, его стартовой и окончательной стоимости, количестве участников онлайн-аукциона, последовательных шагах всех участников в процессе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онлайн-аукциона размещается на сайте уполномоченного органа на следующий день после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30 процентов гарантийного взноса.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победитель онлайн-аукциона не оплатил за номерной знак в срок, установленный настоящим Положением, гарантийный взнос не возвращается и победителем признается следующий участник, предложивший следующую наиболее высокую цену.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участник в течение 3 рабочих дней оплачивает предложенную им цену за номерной знак с особенной комбинацией цифр и/или букв, установленную в ходе онлайн-аукциона, за вычетом 10 процентов гарантийного взноса. Если данная сумма в течение указанного времени не будет оплачена, онлайн-аукцион признается несостоявшимся. В этом случае уполномоченный орган определяет новую дату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в онлайн-аукционе, внесенный гарантийный взнос возвращается в течение 6 рабочих дней после завершения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о реализованном номерном знаке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итогах онлайн-аукциона является документом, подтверждающим право победителя онлайн-аукциона на получение сертификата на бумажном носителе и/или сертификата в электронном виде, который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гражданина, дата рождения и место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приобретения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электронная цифровая подпись для электронного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QR-код для проверки подлинности электронного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Онлайн-аукцион признается несостоявшимся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ни один из зарегистрированных участников онлайн-аукциона не подтвердил стартовую цену в течение 30 минут с начала онлайн-аукциона;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был зарегистрирован только один участник.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вышеуказанных случаев уполномоченный орган объявляет новую дату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сбоев системы, подачи электричества и других форс-мажорных обстоятельств, препятствующих проведению онлайн-аукциона, уполномоченный орган определяет новую дату проведения онлайн-аукциона, но не позднее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несет ответственность за сбои подключения интернета со стороны участника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Реализация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букв без проведения онлайн-аукциона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Номерные знаки, указанные в пунктах 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реализуются уполномоченным органом без проведения онлайн-аукциона.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Гражданин, желающий приобрести номерной знак, приведенный в пунктах 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может указать в дополнение к нему особенную комбинацию букв в соответствии с Перечнем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подает заявление, в котором указывает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предоставляет копию паспорта (ID-карта) и документ, подтверждающий оплату.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также имеет право получить электронный сертификат, в таком случае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выбирает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номерные знаки с особенной комбинацией цифр, указанные в пунктах 1–4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не были реализованы по итогам повторно проведенных онлайн-аукционов в течение 3 месяцев, реализация проводится без проведения онлайн-аукциона с уменьшением их цены на 20 процентов от стартовой цены, установленной в Перечне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номерные знаки с особенной комбинацией цифр, указанные в пунктах 5–7 Перечня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в трехмесячный срок со дня выставления их на реализацию не были реализованы по цене, установленной в Перечне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стоимость их приобретения уменьшается на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номерные знаки с особенной комбинацией цифр, приведенные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приведенных в Перечне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Выдача государственного регистрационного номерного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знака с особенной комбинацией цифр и/или букв и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передачи права собственности на сертификат на бумажном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носителе/сертификат в электронном виде другому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Гражданин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получения сертификата обратиться в уполномоченный орган для получения номерного знака с особенной комбинацией цифр и/или букв, указанного в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уполномоченный орган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обратиться в уполномоченный орган, сообщив свои персональные данные (Ф.И.О.,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«Регистр транспортных средств» будут отображаться сведения о приобретенном номерном знаке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течение 3 рабочих дней выдает номерной знак лицу, представившему сертификат на бумажном носителе и/или сертификат в электронном виде. Гражданин после получения номерного знака с особенной комбинацией цифр и/или букв обязан зарегистрировать его и встать на учет в уполномоченном органе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паспорта (ID-карты)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совместное заявление сторон о передаче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оплате стоимости переоформления сертификата.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покупатель в системе онлайн-аукциона во вкладке «Переоформление сертификатов»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того как покупатель производит оплату в личном кабинете покупателя формируется электронный сертификат на переоформленный номерной знак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цифр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6"/>
        <w:gridCol w:w="4438"/>
        <w:gridCol w:w="4495"/>
      </w:tblGrid>
      <w:tr>
        <w:tc>
          <w:tcPr>
            <w:tcW w:type="dxa" w:w="1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4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номерных знаков (без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учета расходов, связанных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изготовлением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доставкой, в сомах)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50000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30000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20000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аукционе 10000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1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Стоимость государственных регистрационных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номерных знаков указана с учетом налогов.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6046"/>
        <w:gridCol w:w="3079"/>
      </w:tblGrid>
      <w:tr>
        <w:tc>
          <w:tcPr>
            <w:tcW w:type="dxa" w:w="10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3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AAA,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ВВВ, DDD, XXX, RRR и т. д.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ММА и т. д.</w:t>
            </w:r>
          </w:p>
        </w:tc>
        <w:tc>
          <w:tcPr>
            <w:tcW w:type="dxa" w:w="3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государственных органов или межгосударственных объединений;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или двусмысленное значение;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товарных знаков и/или фирменных наименований, являющихся объектом интеллектуальной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mirxkpxay6iyu-ty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dalil.kg/document/230035580</w:t>
      </w:r>
    </w:hyperlink>
  </w:p>
  <w:p>
    <w:pPr>
      <w:spacing w:after="0" w:before="40"/>
      <w:jc w:val="center"/>
    </w:pPr>
    <w:hyperlink w:history="1" r:id="rIdgb9_dba_6eo3pv7amup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mirxkpxay6iyu-tylvu" Type="http://schemas.openxmlformats.org/officeDocument/2006/relationships/hyperlink" Target="https://dalil.kg/document/230035580" TargetMode="External"/><Relationship Id="rIdgb9_dba_6eo3pv7amup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2026-09-25T05:42:58.657Z</dcterms:created>
  <dcterms:modified xsi:type="dcterms:W3CDTF">2026-09-25T05:42:58.657Z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