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25 ноября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758</w:t>
      </w:r>
    </w:p>
    <w:p>
      <w:pPr>
        <w:spacing w:after="240" w:before="200"/>
        <w:jc w:val="center"/>
      </w:pPr>
      <w:r>
        <w:rPr>
          <w:rFonts w:ascii="Arial" w:cs="Arial" w:eastAsia="Arial" w:hAnsi="Arial"/>
          <w:b/>
          <w:bCs/>
          <w:sz w:val="28"/>
          <w:szCs w:val="28"/>
        </w:rPr>
        <w:t xml:space="preserve">О внесении изменения в постановление</w:t>
      </w:r>
    </w:p>
    <w:p>
      <w:pPr>
        <w:spacing w:after="240" w:before="200"/>
        <w:jc w:val="center"/>
      </w:pPr>
      <w:r>
        <w:rPr>
          <w:rFonts w:ascii="Arial" w:cs="Arial" w:eastAsia="Arial" w:hAnsi="Arial"/>
          <w:b/>
          <w:bCs/>
          <w:sz w:val="28"/>
          <w:szCs w:val="28"/>
        </w:rPr>
        <w:t xml:space="preserve">Кабинета Министров Кыргызской Республики</w:t>
      </w:r>
    </w:p>
    <w:p>
      <w:pPr>
        <w:spacing w:after="240" w:before="200"/>
        <w:jc w:val="center"/>
      </w:pPr>
      <w:r>
        <w:rPr>
          <w:rFonts w:ascii="Arial" w:cs="Arial" w:eastAsia="Arial" w:hAnsi="Arial"/>
          <w:b/>
          <w:bCs/>
          <w:sz w:val="28"/>
          <w:szCs w:val="28"/>
        </w:rPr>
        <w:t xml:space="preserve">«Об утверждении ставок и Порядка начисления,</w:t>
      </w:r>
    </w:p>
    <w:p>
      <w:pPr>
        <w:spacing w:after="240" w:before="200"/>
        <w:jc w:val="center"/>
      </w:pPr>
      <w:r>
        <w:rPr>
          <w:rFonts w:ascii="Arial" w:cs="Arial" w:eastAsia="Arial" w:hAnsi="Arial"/>
          <w:b/>
          <w:bCs/>
          <w:sz w:val="28"/>
          <w:szCs w:val="28"/>
        </w:rPr>
        <w:t xml:space="preserve">уплаты сбора и взыскания задолженности по сбору за</w:t>
      </w:r>
    </w:p>
    <w:p>
      <w:pPr>
        <w:spacing w:after="240" w:before="200"/>
        <w:jc w:val="center"/>
      </w:pPr>
      <w:r>
        <w:rPr>
          <w:rFonts w:ascii="Arial" w:cs="Arial" w:eastAsia="Arial" w:hAnsi="Arial"/>
          <w:b/>
          <w:bCs/>
          <w:sz w:val="28"/>
          <w:szCs w:val="28"/>
        </w:rPr>
        <w:t xml:space="preserve">удержание лицензий на право пользования недрами»</w:t>
      </w:r>
    </w:p>
    <w:p>
      <w:pPr>
        <w:spacing w:after="240" w:before="200"/>
        <w:jc w:val="center"/>
      </w:pPr>
      <w:r>
        <w:rPr>
          <w:rFonts w:ascii="Arial" w:cs="Arial" w:eastAsia="Arial" w:hAnsi="Arial"/>
          <w:b/>
          <w:bCs/>
          <w:sz w:val="28"/>
          <w:szCs w:val="28"/>
        </w:rPr>
        <w:t xml:space="preserve">от 12 августа 2022 года № 449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статей </w:t>
      </w:r>
      <w:hyperlink w:history="1" r:id="rIdkxqepoes7pt5jvx23vab_">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g-sn6w3gpuzcd_khs8roi">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v3xo-lqpzhxis3pytq-5q">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otik42hgwtndp6n_yfvj9">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s1lxfxwfeg3yebvte1iq3">
        <w:r>
          <w:rPr>
            <w:rFonts w:ascii="Arial" w:cs="Arial" w:eastAsia="Arial" w:hAnsi="Arial"/>
            <w:color w:val="1D4ED8"/>
            <w:sz w:val="24"/>
            <w:szCs w:val="24"/>
            <w:u w:val="single"/>
          </w:rPr>
          <w:t xml:space="preserve">29</w:t>
        </w:r>
      </w:hyperlink>
      <w:r>
        <w:rPr>
          <w:rFonts w:ascii="Arial" w:cs="Arial" w:eastAsia="Arial" w:hAnsi="Arial"/>
          <w:sz w:val="24"/>
          <w:szCs w:val="24"/>
        </w:rPr>
        <w:t xml:space="preserve"> и </w:t>
      </w:r>
      <w:hyperlink w:history="1" r:id="rIdes8kp4jywo1pc4_7ltu8a">
        <w:r>
          <w:rPr>
            <w:rFonts w:ascii="Arial" w:cs="Arial" w:eastAsia="Arial" w:hAnsi="Arial"/>
            <w:color w:val="1D4ED8"/>
            <w:sz w:val="24"/>
            <w:szCs w:val="24"/>
            <w:u w:val="single"/>
          </w:rPr>
          <w:t xml:space="preserve">39</w:t>
        </w:r>
      </w:hyperlink>
      <w:r>
        <w:rPr>
          <w:rFonts w:ascii="Arial" w:cs="Arial" w:eastAsia="Arial" w:hAnsi="Arial"/>
          <w:sz w:val="24"/>
          <w:szCs w:val="24"/>
        </w:rPr>
        <w:t xml:space="preserve"> Кодекса Кыргызской Республики о неналоговых доходах, в соответствии со статьями </w:t>
      </w:r>
      <w:hyperlink w:history="1" r:id="rIdyzqa2ed7wpiyzki2va4t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quxbooaznf00f9hc6--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eiinrszferoxwi_8gvu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g1dq9wu7mhkhcrcn1a4os">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от 12 августа 2022 года № 449 следующее изменение:</w:t>
      </w:r>
    </w:p>
    <w:p>
      <w:pPr>
        <w:spacing w:after="120"/>
        <w:ind w:firstLine="397"/>
        <w:jc w:val="both"/>
      </w:pPr>
      <w:hyperlink w:history="1" r:id="rIdt_tcjgwgtq-ahzuzybkd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утвержденный вышеуказанным </w:t>
      </w:r>
      <w:hyperlink w:history="1" r:id="rIdkv7vgfptoskkdyykdva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 </w:t>
      </w:r>
    </w:p>
    <w:p>
      <w:pPr>
        <w:spacing w:after="120"/>
        <w:ind w:firstLine="39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в течение месяца со дня вступления в силу настоящего постановления предоставить в Государственную налоговую службу при Кабинете Министров Кыргызской Республики список плательщиков по сбору за удержание лицензий на право пользования недрами по состоянию на 31 декабря 2025 года с указанием сальдо (переплаты, задолженности) и суммы обязательств за 2025 год. </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28 ноября 2025 года № 94 (3751)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начисления, уплаты сбора и взыскания задолженности по</w:t>
      </w:r>
    </w:p>
    <w:p>
      <w:pPr>
        <w:spacing w:after="240" w:before="200"/>
        <w:jc w:val="center"/>
      </w:pPr>
      <w:r>
        <w:rPr>
          <w:rFonts w:ascii="Arial" w:cs="Arial" w:eastAsia="Arial" w:hAnsi="Arial"/>
          <w:b/>
          <w:bCs/>
          <w:sz w:val="32"/>
          <w:szCs w:val="32"/>
        </w:rPr>
        <w:t xml:space="preserve">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начисления, уплаты сбора и взыскания задолженности по сбору за удержание лицензии на право пользования недрами (далее - Порядок) определяет условия начисления, порядок заполнения и предоставления расчетов, отчетов, уплаты сбора и взыскания задолженности по сбору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w:t>
      </w:r>
    </w:p>
    <w:p>
      <w:pPr>
        <w:spacing w:after="120"/>
        <w:ind w:firstLine="397"/>
        <w:jc w:val="both"/>
      </w:pPr>
      <w:r>
        <w:rPr>
          <w:rFonts w:ascii="Arial" w:cs="Arial" w:eastAsia="Arial" w:hAnsi="Arial"/>
          <w:sz w:val="24"/>
          <w:szCs w:val="24"/>
        </w:rPr>
        <w:t xml:space="preserve">1) восстановление действия лицензии на право пользования недрами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flpiex7cjvofh_yhsxr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решения судебного органа;</w:t>
      </w:r>
    </w:p>
    <w:p>
      <w:pPr>
        <w:spacing w:after="120"/>
        <w:ind w:firstLine="397"/>
        <w:jc w:val="both"/>
      </w:pPr>
      <w:r>
        <w:rPr>
          <w:rFonts w:ascii="Arial" w:cs="Arial" w:eastAsia="Arial" w:hAnsi="Arial"/>
          <w:sz w:val="24"/>
          <w:szCs w:val="24"/>
        </w:rPr>
        <w:t xml:space="preserve">2) плательщик - юридическое или физическое лицо, владеющее и осуществляющее пользование лицензией на право пользования недрами;</w:t>
      </w:r>
    </w:p>
    <w:p>
      <w:pPr>
        <w:spacing w:after="120"/>
        <w:ind w:firstLine="397"/>
        <w:jc w:val="both"/>
      </w:pPr>
      <w:r>
        <w:rPr>
          <w:rFonts w:ascii="Arial" w:cs="Arial" w:eastAsia="Arial" w:hAnsi="Arial"/>
          <w:sz w:val="24"/>
          <w:szCs w:val="24"/>
        </w:rPr>
        <w:t xml:space="preserve">3) сбор за удержание лицензии на право пользования недрами (далее - сбор) - взнос, подлежащий уплате владельцем (плательщиком) лицензии на право пользования недрами;</w:t>
      </w:r>
    </w:p>
    <w:p>
      <w:pPr>
        <w:spacing w:after="120"/>
        <w:ind w:firstLine="397"/>
        <w:jc w:val="both"/>
      </w:pPr>
      <w:r>
        <w:rPr>
          <w:rFonts w:ascii="Arial" w:cs="Arial" w:eastAsia="Arial" w:hAnsi="Arial"/>
          <w:sz w:val="24"/>
          <w:szCs w:val="24"/>
        </w:rPr>
        <w:t xml:space="preserve">4) расчет сбора за удержание лицензии на право пользования недрами - начисление и/или перерасчет суммы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5) пользование лицензией на право пользования недрами - владение и пользование лицензией на право пользования недрами, включая работы по извлечению полезных ископаемых из техногенных образований, в том числе периоды составления технической документации, проведения по ней экспертиз и получения экспертных заключений в части экологической, промышленной безопасности, охраны недр, получения согласия владельца земельных прав либо получения земельного отвода и использования определенного участка недр;</w:t>
      </w:r>
    </w:p>
    <w:p>
      <w:pPr>
        <w:spacing w:after="120"/>
        <w:ind w:firstLine="397"/>
        <w:jc w:val="both"/>
      </w:pPr>
      <w:r>
        <w:rPr>
          <w:rFonts w:ascii="Arial" w:cs="Arial" w:eastAsia="Arial" w:hAnsi="Arial"/>
          <w:sz w:val="24"/>
          <w:szCs w:val="24"/>
        </w:rPr>
        <w:t xml:space="preserve">6) обстоятельство непреодолимой силы (форс-мажор)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Основания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397"/>
        <w:jc w:val="both"/>
      </w:pPr>
      <w:r>
        <w:rPr>
          <w:rFonts w:ascii="Arial" w:cs="Arial" w:eastAsia="Arial" w:hAnsi="Arial"/>
          <w:sz w:val="24"/>
          <w:szCs w:val="24"/>
        </w:rPr>
        <w:t xml:space="preserve">4. Объектом обложения сбором является пользование лицензией на право пользования недрами в пределах лицензионной площади по определенным видам полезных ископаемых.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исчисления, расчета, перерасчета</w:t>
      </w:r>
    </w:p>
    <w:p>
      <w:pPr>
        <w:spacing w:after="240" w:before="200"/>
        <w:jc w:val="center"/>
      </w:pPr>
      <w:r>
        <w:rPr>
          <w:rFonts w:ascii="Arial" w:cs="Arial" w:eastAsia="Arial" w:hAnsi="Arial"/>
          <w:b/>
          <w:bCs/>
          <w:sz w:val="32"/>
          <w:szCs w:val="32"/>
        </w:rPr>
        <w:t xml:space="preserve">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Базой для исчисления сбора при поиске и/или разведке, и/или разработке месторождений полезных ископаемых является размер лицензионной площади.</w:t>
      </w:r>
    </w:p>
    <w:p>
      <w:pPr>
        <w:spacing w:after="120"/>
        <w:ind w:firstLine="397"/>
        <w:jc w:val="both"/>
      </w:pPr>
      <w:r>
        <w:rPr>
          <w:rFonts w:ascii="Arial" w:cs="Arial" w:eastAsia="Arial" w:hAnsi="Arial"/>
          <w:sz w:val="24"/>
          <w:szCs w:val="24"/>
        </w:rPr>
        <w:t xml:space="preserve">Правильность исчисления расчета и отчета, а также перерасчета сбора за удержание лицензий возлагается на уполномоченный государственный орган по реализации государственной политики по недропользованию (далее - УГО по недропользованию).</w:t>
      </w:r>
    </w:p>
    <w:p>
      <w:pPr>
        <w:spacing w:after="120"/>
        <w:ind w:firstLine="397"/>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плательщик сбора обязан предоставить уточненный отчет/расчет через кабинет налогоплательщика (далее - КН) в территориальный налоговый орган по месту нахождения лицензионной площади.</w:t>
      </w:r>
    </w:p>
    <w:p>
      <w:pPr>
        <w:spacing w:after="120"/>
        <w:ind w:firstLine="397"/>
        <w:jc w:val="both"/>
      </w:pPr>
      <w:r>
        <w:rPr>
          <w:rFonts w:ascii="Arial" w:cs="Arial" w:eastAsia="Arial" w:hAnsi="Arial"/>
          <w:sz w:val="24"/>
          <w:szCs w:val="24"/>
        </w:rPr>
        <w:t xml:space="preserve">6. При пользовании недрами с целью разработки после выхода на проектную мощность сбор не уплачивается, если годовой объем добычи полезного ископаемого, установленного лицензионным соглашением, выполнен не менее чем на 90 процентов.</w:t>
      </w:r>
    </w:p>
    <w:p>
      <w:pPr>
        <w:spacing w:after="120"/>
        <w:ind w:firstLine="397"/>
        <w:jc w:val="both"/>
      </w:pPr>
      <w:r>
        <w:rPr>
          <w:rFonts w:ascii="Arial" w:cs="Arial" w:eastAsia="Arial" w:hAnsi="Arial"/>
          <w:sz w:val="24"/>
          <w:szCs w:val="24"/>
        </w:rPr>
        <w:t xml:space="preserve">7. Расчет сбора производится плательщиком самостоятельно в соответствии с размером лицензионной площади, ставкой по виду полезного ископаемого, датой выдачи лицензии на право пользования недрами и периодом пользования недрами и согласовывается с УГО по недропользованию.</w:t>
      </w:r>
    </w:p>
    <w:p>
      <w:pPr>
        <w:spacing w:after="120"/>
        <w:ind w:firstLine="397"/>
        <w:jc w:val="both"/>
      </w:pPr>
      <w:r>
        <w:rPr>
          <w:rFonts w:ascii="Arial" w:cs="Arial" w:eastAsia="Arial" w:hAnsi="Arial"/>
          <w:sz w:val="24"/>
          <w:szCs w:val="24"/>
        </w:rPr>
        <w:t xml:space="preserve">При поиске, разведке и разработке (на стадии проектирования) месторождений полезных ископаемых плательщик производит расчет сбора за текущий год и согласовывает с УГО по недропользованию по форме (</w:t>
      </w:r>
      <w:hyperlink w:history="1" r:id="rIdd1z1m3h2u4gm79mcqlfc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 не позднее 1 марта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расчет сбора за текущий год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n9ajovwfmukqh6qzqmnh8">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в порядке заполнения (глава 6 настоящего Порядка).</w:t>
      </w:r>
    </w:p>
    <w:p>
      <w:pPr>
        <w:spacing w:after="120"/>
        <w:ind w:firstLine="397"/>
        <w:jc w:val="both"/>
      </w:pPr>
      <w:r>
        <w:rPr>
          <w:rFonts w:ascii="Arial" w:cs="Arial" w:eastAsia="Arial" w:hAnsi="Arial"/>
          <w:sz w:val="24"/>
          <w:szCs w:val="24"/>
        </w:rPr>
        <w:t xml:space="preserve">При разработке (на стадии проведения работ) месторождений полезных ископаемых составляется отчет сбора за отчетный год и согласовывается с УГО по недропользованию по форме (</w:t>
      </w:r>
      <w:hyperlink w:history="1" r:id="rId1v-l7wke56hrdawvkfj3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 до 31 января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отчет сбора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lng_kbiu_mtdc7i0i_ur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Порядку) и в порядке заполнения (</w:t>
      </w:r>
      <w:hyperlink w:history="1" r:id="rIdocxhrm0cv9eip9n7rc3fs">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8. Расчет сбора производится по каждой административно-территориальной единице, на территории которой находится лицензионная площадь.</w:t>
      </w:r>
    </w:p>
    <w:p>
      <w:pPr>
        <w:spacing w:after="120"/>
        <w:ind w:firstLine="397"/>
        <w:jc w:val="both"/>
      </w:pPr>
      <w:r>
        <w:rPr>
          <w:rFonts w:ascii="Arial" w:cs="Arial" w:eastAsia="Arial" w:hAnsi="Arial"/>
          <w:sz w:val="24"/>
          <w:szCs w:val="24"/>
        </w:rPr>
        <w:t xml:space="preserve">9.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120"/>
        <w:ind w:firstLine="397"/>
        <w:jc w:val="both"/>
      </w:pPr>
      <w:r>
        <w:rPr>
          <w:rFonts w:ascii="Arial" w:cs="Arial" w:eastAsia="Arial" w:hAnsi="Arial"/>
          <w:sz w:val="24"/>
          <w:szCs w:val="24"/>
        </w:rPr>
        <w:t xml:space="preserve">10. После получения лицензии на право пользования недрами, плательщик в течение 30 календарных дней обязан представить в УГО по недропользованию справку о точных границах и площади айылных аймаков, входящих в состав лицензионной площади, выдаваемую уполномоченным государственным органом по землеустройству.</w:t>
      </w:r>
    </w:p>
    <w:p>
      <w:pPr>
        <w:spacing w:after="120"/>
        <w:ind w:firstLine="397"/>
        <w:jc w:val="both"/>
      </w:pPr>
      <w:r>
        <w:rPr>
          <w:rFonts w:ascii="Arial" w:cs="Arial" w:eastAsia="Arial" w:hAnsi="Arial"/>
          <w:sz w:val="24"/>
          <w:szCs w:val="24"/>
        </w:rPr>
        <w:t xml:space="preserve">В случае, если в установленные сроки уполномоченным государственным органом по землеустройству не установлены точные границы и площади айылных аймаков, входящих в состав лицензионной площади, то сбор уплачивается в республиканский бюджет в течение 30 календарных дней со дня завершения срока, установленного для предоставления ответа вышеуказанным органом относительно точных границ и площадей айылных аймаков.</w:t>
      </w:r>
    </w:p>
    <w:p>
      <w:pPr>
        <w:spacing w:after="120"/>
        <w:ind w:firstLine="397"/>
        <w:jc w:val="both"/>
      </w:pPr>
      <w:r>
        <w:rPr>
          <w:rFonts w:ascii="Arial" w:cs="Arial" w:eastAsia="Arial" w:hAnsi="Arial"/>
          <w:sz w:val="24"/>
          <w:szCs w:val="24"/>
        </w:rPr>
        <w:t xml:space="preserve">11. Плательщик после получения справки уполномоченного государственного органа по землеустройству должен в течение 15 календарных дней пройти учетную регистрацию в территориальном налоговом органе по месту нахождения лицензионных площадей, произвести расчет сбора (4 экземпляра) и направить:</w:t>
      </w:r>
    </w:p>
    <w:p>
      <w:pPr>
        <w:spacing w:after="120"/>
        <w:ind w:firstLine="397"/>
        <w:jc w:val="both"/>
      </w:pPr>
      <w:r>
        <w:rPr>
          <w:rFonts w:ascii="Arial" w:cs="Arial" w:eastAsia="Arial" w:hAnsi="Arial"/>
          <w:sz w:val="24"/>
          <w:szCs w:val="24"/>
        </w:rPr>
        <w:t xml:space="preserve">- один экземпляр - в уполномоченный государственный орган по недропользованию;</w:t>
      </w:r>
    </w:p>
    <w:p>
      <w:pPr>
        <w:spacing w:after="120"/>
        <w:ind w:firstLine="397"/>
        <w:jc w:val="both"/>
      </w:pPr>
      <w:r>
        <w:rPr>
          <w:rFonts w:ascii="Arial" w:cs="Arial" w:eastAsia="Arial" w:hAnsi="Arial"/>
          <w:sz w:val="24"/>
          <w:szCs w:val="24"/>
        </w:rPr>
        <w:t xml:space="preserve">- второй экземпляр - соответствующему органу местного самоуправления;</w:t>
      </w:r>
    </w:p>
    <w:p>
      <w:pPr>
        <w:spacing w:after="120"/>
        <w:ind w:firstLine="397"/>
        <w:jc w:val="both"/>
      </w:pPr>
      <w:r>
        <w:rPr>
          <w:rFonts w:ascii="Arial" w:cs="Arial" w:eastAsia="Arial" w:hAnsi="Arial"/>
          <w:sz w:val="24"/>
          <w:szCs w:val="24"/>
        </w:rPr>
        <w:t xml:space="preserve">- третий экземпляр - в органы налоговой службы;</w:t>
      </w:r>
    </w:p>
    <w:p>
      <w:pPr>
        <w:spacing w:after="120"/>
        <w:ind w:firstLine="397"/>
        <w:jc w:val="both"/>
      </w:pPr>
      <w:r>
        <w:rPr>
          <w:rFonts w:ascii="Arial" w:cs="Arial" w:eastAsia="Arial" w:hAnsi="Arial"/>
          <w:sz w:val="24"/>
          <w:szCs w:val="24"/>
        </w:rPr>
        <w:t xml:space="preserve">- четвертый экземпляр остается у плательщика.</w:t>
      </w:r>
    </w:p>
    <w:p>
      <w:pPr>
        <w:spacing w:after="120"/>
        <w:ind w:firstLine="397"/>
        <w:jc w:val="both"/>
      </w:pPr>
      <w:r>
        <w:rPr>
          <w:rFonts w:ascii="Arial" w:cs="Arial" w:eastAsia="Arial" w:hAnsi="Arial"/>
          <w:sz w:val="24"/>
          <w:szCs w:val="24"/>
        </w:rPr>
        <w:t xml:space="preserve">12. Плательщик обязан согласно пунктам </w:t>
      </w:r>
      <w:hyperlink w:history="1" r:id="rIdeirufcndf_p0m8gdxmkcq">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bvkgmj5hrpnz8bbjxfcof">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Порядка произвести расчет и отчет сбора на последующие календарные годы и направить в соответствующие органы.</w:t>
      </w:r>
    </w:p>
    <w:p>
      <w:pPr>
        <w:spacing w:after="120"/>
        <w:ind w:firstLine="397"/>
        <w:jc w:val="both"/>
      </w:pPr>
      <w:r>
        <w:rPr>
          <w:rFonts w:ascii="Arial" w:cs="Arial" w:eastAsia="Arial" w:hAnsi="Arial"/>
          <w:sz w:val="24"/>
          <w:szCs w:val="24"/>
        </w:rPr>
        <w:t xml:space="preserve">13. Расчет сбора подлежит перерасчету с указанной в решении УГО по недропользованию даты. Уточненный отчет предоставляется согласно </w:t>
      </w:r>
      <w:hyperlink w:history="1" r:id="rIdgoerhdzqfsd41ogovkpa0">
        <w:r>
          <w:rPr>
            <w:rFonts w:ascii="Arial" w:cs="Arial" w:eastAsia="Arial" w:hAnsi="Arial"/>
            <w:color w:val="1D4ED8"/>
            <w:sz w:val="24"/>
            <w:szCs w:val="24"/>
            <w:u w:val="single"/>
          </w:rPr>
          <w:t xml:space="preserve">пункту 7</w:t>
        </w:r>
      </w:hyperlink>
      <w:r>
        <w:rPr>
          <w:rFonts w:ascii="Arial" w:cs="Arial" w:eastAsia="Arial" w:hAnsi="Arial"/>
          <w:sz w:val="24"/>
          <w:szCs w:val="24"/>
        </w:rPr>
        <w:t xml:space="preserve"> настоящего Порядка через КН в территориальный налоговый орган по месту нахождения лицензионной площади в случае изменений данных, используемых при произведении расчета сбора, в частности:</w:t>
      </w:r>
    </w:p>
    <w:p>
      <w:pPr>
        <w:spacing w:after="120"/>
        <w:ind w:firstLine="397"/>
        <w:jc w:val="both"/>
      </w:pPr>
      <w:r>
        <w:rPr>
          <w:rFonts w:ascii="Arial" w:cs="Arial" w:eastAsia="Arial" w:hAnsi="Arial"/>
          <w:sz w:val="24"/>
          <w:szCs w:val="24"/>
        </w:rPr>
        <w:t xml:space="preserve">1) восстановление действия, прекращение (аннулирование) действия лицензии на право пользования недрами;</w:t>
      </w:r>
    </w:p>
    <w:p>
      <w:pPr>
        <w:spacing w:after="120"/>
        <w:ind w:firstLine="397"/>
        <w:jc w:val="both"/>
      </w:pPr>
      <w:r>
        <w:rPr>
          <w:rFonts w:ascii="Arial" w:cs="Arial" w:eastAsia="Arial" w:hAnsi="Arial"/>
          <w:sz w:val="24"/>
          <w:szCs w:val="24"/>
        </w:rPr>
        <w:t xml:space="preserve">2) изменение места расположения и/или размера лицензионной площади;</w:t>
      </w:r>
    </w:p>
    <w:p>
      <w:pPr>
        <w:spacing w:after="120"/>
        <w:ind w:firstLine="397"/>
        <w:jc w:val="both"/>
      </w:pPr>
      <w:r>
        <w:rPr>
          <w:rFonts w:ascii="Arial" w:cs="Arial" w:eastAsia="Arial" w:hAnsi="Arial"/>
          <w:sz w:val="24"/>
          <w:szCs w:val="24"/>
        </w:rPr>
        <w:t xml:space="preserve">3) трансформация лицензии на право пользования недрами;</w:t>
      </w:r>
    </w:p>
    <w:p>
      <w:pPr>
        <w:spacing w:after="120"/>
        <w:ind w:firstLine="397"/>
        <w:jc w:val="both"/>
      </w:pPr>
      <w:r>
        <w:rPr>
          <w:rFonts w:ascii="Arial" w:cs="Arial" w:eastAsia="Arial" w:hAnsi="Arial"/>
          <w:sz w:val="24"/>
          <w:szCs w:val="24"/>
        </w:rPr>
        <w:t xml:space="preserve">4) обстоятельства непреодолимой силы (форс-мажор);</w:t>
      </w:r>
    </w:p>
    <w:p>
      <w:pPr>
        <w:spacing w:after="120"/>
        <w:ind w:firstLine="397"/>
        <w:jc w:val="both"/>
      </w:pPr>
      <w:r>
        <w:rPr>
          <w:rFonts w:ascii="Arial" w:cs="Arial" w:eastAsia="Arial" w:hAnsi="Arial"/>
          <w:sz w:val="24"/>
          <w:szCs w:val="24"/>
        </w:rPr>
        <w:t xml:space="preserve">5) установление факта недостоверности, искажения данных, использованных при расчете, перерасчете сбора;</w:t>
      </w:r>
    </w:p>
    <w:p>
      <w:pPr>
        <w:spacing w:after="120"/>
        <w:ind w:firstLine="397"/>
        <w:jc w:val="both"/>
      </w:pPr>
      <w:r>
        <w:rPr>
          <w:rFonts w:ascii="Arial" w:cs="Arial" w:eastAsia="Arial" w:hAnsi="Arial"/>
          <w:sz w:val="24"/>
          <w:szCs w:val="24"/>
        </w:rPr>
        <w:t xml:space="preserve">6) признание расчета и/или оснований, по которым был произведен расчет, недействительными по решению суда;</w:t>
      </w:r>
    </w:p>
    <w:p>
      <w:pPr>
        <w:spacing w:after="120"/>
        <w:ind w:firstLine="397"/>
        <w:jc w:val="both"/>
      </w:pPr>
      <w:r>
        <w:rPr>
          <w:rFonts w:ascii="Arial" w:cs="Arial" w:eastAsia="Arial" w:hAnsi="Arial"/>
          <w:sz w:val="24"/>
          <w:szCs w:val="24"/>
        </w:rPr>
        <w:t xml:space="preserve">7) на основании решения уполномоченного государственного органа по недропользованию.</w:t>
      </w:r>
    </w:p>
    <w:p>
      <w:pPr>
        <w:spacing w:after="120"/>
        <w:ind w:firstLine="397"/>
        <w:jc w:val="both"/>
      </w:pPr>
      <w:r>
        <w:rPr>
          <w:rFonts w:ascii="Arial" w:cs="Arial" w:eastAsia="Arial" w:hAnsi="Arial"/>
          <w:sz w:val="24"/>
          <w:szCs w:val="24"/>
        </w:rPr>
        <w:t xml:space="preserve">При перерасчете сбора в случае изменения обязательства УГО по недропользованию ежеквартально до 5 числа месяца, следующего за отчетным кварталом, направляет в налоговый орган информацию согласно </w:t>
      </w:r>
      <w:hyperlink w:history="1" r:id="rIddkkh-wxbq3h0vris-pgu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приводящих к изменению суммы обязательства, расчет сбора производится с указанной УГО по недропользованию даты в решении. Уточненный отчет предоставляется через КН в органы налоговой службы.</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расчет сбора производится согласно </w:t>
      </w:r>
      <w:hyperlink w:history="1" r:id="rIdpxpcxceohvw2lnik2bp2z">
        <w:r>
          <w:rPr>
            <w:rFonts w:ascii="Arial" w:cs="Arial" w:eastAsia="Arial" w:hAnsi="Arial"/>
            <w:color w:val="1D4ED8"/>
            <w:sz w:val="24"/>
            <w:szCs w:val="24"/>
            <w:u w:val="single"/>
          </w:rPr>
          <w:t xml:space="preserve">пункту 20</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15. В случае признания в установленном порядке или по решению суда недействительным решения о прекращении (аннулировании) действия лицензии на право пользования недрами, период с момента принятия решения о прекращении (аннулировании) действия лицензии на право пользования недрами до момента принятия решения о восстановлении действия лицензии на право пользования недрами не включается в расчет сбора как период пользования недрами и не влияет на определение ставки.</w:t>
      </w:r>
    </w:p>
    <w:p>
      <w:pPr>
        <w:spacing w:after="120"/>
        <w:ind w:firstLine="397"/>
        <w:jc w:val="both"/>
      </w:pPr>
      <w:r>
        <w:rPr>
          <w:rFonts w:ascii="Arial" w:cs="Arial" w:eastAsia="Arial" w:hAnsi="Arial"/>
          <w:sz w:val="24"/>
          <w:szCs w:val="24"/>
        </w:rPr>
        <w:t xml:space="preserve">16. В случае отказа от лицензии на право пользования недрами плательщик сдает уточненный расчет/отчет через КН для прекращения начисления сбора:</w:t>
      </w:r>
    </w:p>
    <w:p>
      <w:pPr>
        <w:spacing w:after="120"/>
        <w:ind w:firstLine="397"/>
        <w:jc w:val="both"/>
      </w:pPr>
      <w:r>
        <w:rPr>
          <w:rFonts w:ascii="Arial" w:cs="Arial" w:eastAsia="Arial" w:hAnsi="Arial"/>
          <w:sz w:val="24"/>
          <w:szCs w:val="24"/>
        </w:rPr>
        <w:t xml:space="preserve">- с указанной даты в решении УГО по недропользованию о прекращении (аннулировании) действия лицензии на право пользования недрами;</w:t>
      </w:r>
    </w:p>
    <w:p>
      <w:pPr>
        <w:spacing w:after="120"/>
        <w:ind w:firstLine="397"/>
        <w:jc w:val="both"/>
      </w:pPr>
      <w:r>
        <w:rPr>
          <w:rFonts w:ascii="Arial" w:cs="Arial" w:eastAsia="Arial" w:hAnsi="Arial"/>
          <w:sz w:val="24"/>
          <w:szCs w:val="24"/>
        </w:rPr>
        <w:t xml:space="preserve">- при отсутствии такого решения по истечении 30 календарных дней со дня подачи заявления об отказе плательщика от лицензии на право пользования недрами.</w:t>
      </w:r>
    </w:p>
    <w:p>
      <w:pPr>
        <w:spacing w:after="120"/>
        <w:ind w:firstLine="397"/>
        <w:jc w:val="both"/>
      </w:pPr>
      <w:r>
        <w:rPr>
          <w:rFonts w:ascii="Arial" w:cs="Arial" w:eastAsia="Arial" w:hAnsi="Arial"/>
          <w:sz w:val="24"/>
          <w:szCs w:val="24"/>
        </w:rPr>
        <w:t xml:space="preserve">17. В случае прекращения (аннулирования) действия лицензий на право пользования недрами, УГО по недропользованию согласно </w:t>
      </w:r>
      <w:hyperlink w:history="1" r:id="rIdh6y4q_knuihfgcoa2yfvj">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направляет информацию уполномоченному налоговому органу.</w:t>
      </w:r>
    </w:p>
    <w:p>
      <w:pPr>
        <w:spacing w:after="120"/>
        <w:ind w:firstLine="39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120"/>
        <w:ind w:firstLine="397"/>
        <w:jc w:val="both"/>
      </w:pPr>
      <w:r>
        <w:rPr>
          <w:rFonts w:ascii="Arial" w:cs="Arial" w:eastAsia="Arial" w:hAnsi="Arial"/>
          <w:sz w:val="24"/>
          <w:szCs w:val="24"/>
        </w:rPr>
        <w:t xml:space="preserve">19. При трансформации лицензии на право пользования недрами плательщик обязан предоставить справки, выдаваемые уполномоченным государственным органом по землеустройству,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120"/>
        <w:ind w:firstLine="397"/>
        <w:jc w:val="both"/>
      </w:pPr>
      <w:r>
        <w:rPr>
          <w:rFonts w:ascii="Arial" w:cs="Arial" w:eastAsia="Arial" w:hAnsi="Arial"/>
          <w:sz w:val="24"/>
          <w:szCs w:val="24"/>
        </w:rPr>
        <w:t xml:space="preserve">Плательщик производит перерасчет сбора, согласовывает с УГО по недропользованию, представляет через КН уточненный расчет/отчет в территориальный налоговый орган по месту учетной регистрации по нетрансформированной лицензии с учетом исключенной из расчета сбора лицензионной площади по лицензии на новый вид пользования недрами, установленный настоящим Порядком.</w:t>
      </w:r>
    </w:p>
    <w:p>
      <w:pPr>
        <w:spacing w:after="120"/>
        <w:ind w:firstLine="397"/>
        <w:jc w:val="both"/>
      </w:pPr>
      <w:r>
        <w:rPr>
          <w:rFonts w:ascii="Arial" w:cs="Arial" w:eastAsia="Arial" w:hAnsi="Arial"/>
          <w:sz w:val="24"/>
          <w:szCs w:val="24"/>
        </w:rPr>
        <w:t xml:space="preserve">УГО по недропользованию направляет согласно </w:t>
      </w:r>
      <w:hyperlink w:history="1" r:id="rIdgukgxprwl3l8uj6vzjgs_">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информацию в органы налоговой службы о плательщиках, у которых трансформированы лицензии на право пользования недрами.</w:t>
      </w:r>
    </w:p>
    <w:p>
      <w:pPr>
        <w:spacing w:after="120"/>
        <w:ind w:firstLine="397"/>
        <w:jc w:val="both"/>
      </w:pPr>
      <w:r>
        <w:rPr>
          <w:rFonts w:ascii="Arial" w:cs="Arial" w:eastAsia="Arial" w:hAnsi="Arial"/>
          <w:sz w:val="24"/>
          <w:szCs w:val="24"/>
        </w:rPr>
        <w:t xml:space="preserve">20. В случае изменения места расположения и/или размера лицензионной площади, плательщик самостоятельно должен произвести перерасчет сбора в соответствии с принятыми изменениями.</w:t>
      </w:r>
    </w:p>
    <w:p>
      <w:pPr>
        <w:spacing w:after="120"/>
        <w:ind w:firstLine="39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указанной даты в решении УГО по недропользованию об изменении размера лицензионной площади.</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плательщик согласно </w:t>
      </w:r>
      <w:hyperlink w:history="1" r:id="rIdw9ifrc1yl6yssehmqvfyi">
        <w:r>
          <w:rPr>
            <w:rFonts w:ascii="Arial" w:cs="Arial" w:eastAsia="Arial" w:hAnsi="Arial"/>
            <w:color w:val="1D4ED8"/>
            <w:sz w:val="24"/>
            <w:szCs w:val="24"/>
            <w:u w:val="single"/>
          </w:rPr>
          <w:t xml:space="preserve">пункту 11</w:t>
        </w:r>
      </w:hyperlink>
      <w:r>
        <w:rPr>
          <w:rFonts w:ascii="Arial" w:cs="Arial" w:eastAsia="Arial" w:hAnsi="Arial"/>
          <w:sz w:val="24"/>
          <w:szCs w:val="24"/>
        </w:rPr>
        <w:t xml:space="preserve"> настоящего Порядка обязан предоставить справку о точных границах и площади айылных аймаков, входящих в лицензионные площади, выдаваемую УГО по землеустройству.</w:t>
      </w:r>
    </w:p>
    <w:p>
      <w:pPr>
        <w:spacing w:after="120"/>
        <w:ind w:firstLine="39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120"/>
        <w:ind w:firstLine="39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30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пользования недрами.</w:t>
      </w:r>
    </w:p>
    <w:p>
      <w:pPr>
        <w:spacing w:after="120"/>
        <w:ind w:firstLine="39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период включается в расчет сбора как пользование недрами.</w:t>
      </w:r>
    </w:p>
    <w:p>
      <w:pPr>
        <w:spacing w:after="120"/>
        <w:ind w:firstLine="39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120"/>
        <w:ind w:firstLine="397"/>
        <w:jc w:val="both"/>
      </w:pPr>
      <w:r>
        <w:rPr>
          <w:rFonts w:ascii="Arial" w:cs="Arial" w:eastAsia="Arial" w:hAnsi="Arial"/>
          <w:sz w:val="24"/>
          <w:szCs w:val="24"/>
        </w:rPr>
        <w:t xml:space="preserve">23. УГО по недропользованию в течение 10 рабочих дней со дня подачи заявления об обстоятельствах непреодолимой силы (форс-мажор) принимает решение об отказе в принятии или принятии обстоятельств непреодолимой силы (форс-мажор) и уведомляет уполномоченный налоговый орган в сроки, установленные </w:t>
      </w:r>
      <w:hyperlink w:history="1" r:id="rIdtdwylyggvvoklz-6emxqm">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w:t>
      </w:r>
      <w:hyperlink w:history="1" r:id="rId1lpbjr4bdnor0iobas4wi">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bt7qm9aaau-x21ry2za5r">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Порядка, УГО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в принятии к учету при начислении сбора обстоятельств непреодолимой силы (форс-мажор) оформляется в письменном виде и направляется плательщику в течение 30 календарных дней по последнему известному адресу плательщика.</w:t>
      </w:r>
    </w:p>
    <w:p>
      <w:pPr>
        <w:spacing w:after="120"/>
        <w:ind w:firstLine="397"/>
        <w:jc w:val="both"/>
      </w:pPr>
      <w:r>
        <w:rPr>
          <w:rFonts w:ascii="Arial" w:cs="Arial" w:eastAsia="Arial" w:hAnsi="Arial"/>
          <w:sz w:val="24"/>
          <w:szCs w:val="24"/>
        </w:rPr>
        <w:t xml:space="preserve">25. При обнаружении ошибок или неточностей при расчете сбора в представленных плательщиком расчетах и отчетах, УГО по недропользованию производит корректировку расчета сбора и направляет его по электронной почте или заказным письмом по последнему известному адресу плательщика, либо нарочно уполномоченному представителю плательщика также направляет информацию в налоговый орган в сроки, установленные </w:t>
      </w:r>
      <w:hyperlink w:history="1" r:id="rId9kym7sdads5hjttwk2qjn">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На основе откорректированного отчета и расчета сбора плательщик при получении письма в течение 10 календарных дней предоставляет в соответствии с </w:t>
      </w:r>
      <w:hyperlink w:history="1" r:id="rIdnw16zg3rdenca3wmgmq42">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 уточненный расчет/отчет через КН по месту учетной регистрации.</w:t>
      </w:r>
    </w:p>
    <w:p>
      <w:pPr>
        <w:spacing w:after="120"/>
        <w:ind w:firstLine="397"/>
        <w:jc w:val="both"/>
      </w:pPr>
      <w:r>
        <w:rPr>
          <w:rFonts w:ascii="Arial" w:cs="Arial" w:eastAsia="Arial" w:hAnsi="Arial"/>
          <w:sz w:val="24"/>
          <w:szCs w:val="24"/>
        </w:rPr>
        <w:t xml:space="preserve">Если плательщик не согласен с корректированным расчетом, то он вправе обжаловать его в порядке, предусмотренном </w:t>
      </w:r>
      <w:hyperlink w:history="1" r:id="rIdzmyyxadks26ve9mmbo5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26.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принятия решения по заявке лицензия считается действующей и период включается в расчет сбора как период пользования недрами.</w:t>
      </w:r>
    </w:p>
    <w:p>
      <w:pPr>
        <w:spacing w:after="120"/>
        <w:ind w:firstLine="397"/>
        <w:jc w:val="both"/>
      </w:pPr>
      <w:r>
        <w:rPr>
          <w:rFonts w:ascii="Arial" w:cs="Arial" w:eastAsia="Arial" w:hAnsi="Arial"/>
          <w:sz w:val="24"/>
          <w:szCs w:val="24"/>
        </w:rPr>
        <w:t xml:space="preserve">27. В случае передачи лицензии на право пользования недрами новому плательщику, начисление сбора происходит в том же порядке и по той же ставке, что и до передачи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уплаты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получении лицензии на право пользования недрами плательщик сбора после направления расчетов в соответствии с </w:t>
      </w:r>
      <w:hyperlink w:history="1" r:id="rIdh9hzjj7gp-0h6gheuzobb">
        <w:r>
          <w:rPr>
            <w:rFonts w:ascii="Arial" w:cs="Arial" w:eastAsia="Arial" w:hAnsi="Arial"/>
            <w:color w:val="1D4ED8"/>
            <w:sz w:val="24"/>
            <w:szCs w:val="24"/>
            <w:u w:val="single"/>
          </w:rPr>
          <w:t xml:space="preserve">пунктом 11</w:t>
        </w:r>
      </w:hyperlink>
      <w:r>
        <w:rPr>
          <w:rFonts w:ascii="Arial" w:cs="Arial" w:eastAsia="Arial" w:hAnsi="Arial"/>
          <w:sz w:val="24"/>
          <w:szCs w:val="24"/>
        </w:rPr>
        <w:t xml:space="preserve"> настоящего Порядка в течение 30 (тридцать) календарных дней обязан уплатить сбор за первый год (последующие 12 месяцев) пользования недрами. В случае неуплаты в срок УГО по недропользованию принимает меры в соответствии с законодательством Кыргызской Республики в сфере недропользования. Государственным предприятиям и хозяйствующим субъектам, имеющим не менее двух третьих долей участия государства в уставном капитале, предоставляется отсрочка уплаты сбора до начала промышленной разработки участка недр и выхода на проектную мощность.</w:t>
      </w:r>
    </w:p>
    <w:p>
      <w:pPr>
        <w:spacing w:after="120"/>
        <w:ind w:firstLine="397"/>
        <w:jc w:val="both"/>
      </w:pPr>
      <w:r>
        <w:rPr>
          <w:rFonts w:ascii="Arial" w:cs="Arial" w:eastAsia="Arial" w:hAnsi="Arial"/>
          <w:sz w:val="24"/>
          <w:szCs w:val="24"/>
        </w:rPr>
        <w:t xml:space="preserve">29. За последующие годы по лицензиям на геолого-поисковые и геолого-разведочные работы, на разработку (на стадии проектирования) месторождений полезных ископаемых общая сумма сбора за год распределяется пропорционально по месяцам и плательщик производит уплату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30. При пользовании недрами с целью разработки (на стадии проведения работ), в случае выполнения годового объема добычи полезного ископаемого менее чем на 90 процентов, плательщик до 1 марта текущего года обязан уплатить сбор в сумме, пропорциональной объему недовыполнения плана добычи полезных ископаемых за отчетный год.</w:t>
      </w:r>
    </w:p>
    <w:p>
      <w:pPr>
        <w:spacing w:after="120"/>
        <w:ind w:firstLine="397"/>
        <w:jc w:val="both"/>
      </w:pPr>
      <w:r>
        <w:rPr>
          <w:rFonts w:ascii="Arial" w:cs="Arial" w:eastAsia="Arial" w:hAnsi="Arial"/>
          <w:sz w:val="24"/>
          <w:szCs w:val="24"/>
        </w:rPr>
        <w:t xml:space="preserve">Ежегодно до 1 апреля УГО по недропользованию направляет согласно </w:t>
      </w:r>
      <w:hyperlink w:history="1" r:id="rIdkm7ipzwi6-komyspangvr">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информацию о выполнении годового объема добычи полезного ископаемого плательщиками за предыдущий календарный год в уполномоченный налоговый орган.</w:t>
      </w:r>
    </w:p>
    <w:p>
      <w:pPr>
        <w:spacing w:after="120"/>
        <w:ind w:firstLine="397"/>
        <w:jc w:val="both"/>
      </w:pPr>
      <w:r>
        <w:rPr>
          <w:rFonts w:ascii="Arial" w:cs="Arial" w:eastAsia="Arial" w:hAnsi="Arial"/>
          <w:sz w:val="24"/>
          <w:szCs w:val="24"/>
        </w:rPr>
        <w:t xml:space="preserve">31. В случае если после перерасчета сбора обнаруживается переплата, то переплаченная сумма органом местного самоуправления и территориальным налоговым органом засчитывается в счет следующего года такого плательщика или возвращается плательщику по его заявлению.</w:t>
      </w:r>
    </w:p>
    <w:p>
      <w:pPr>
        <w:spacing w:after="120"/>
        <w:ind w:firstLine="397"/>
        <w:jc w:val="both"/>
      </w:pPr>
      <w:r>
        <w:rPr>
          <w:rFonts w:ascii="Arial" w:cs="Arial" w:eastAsia="Arial" w:hAnsi="Arial"/>
          <w:sz w:val="24"/>
          <w:szCs w:val="24"/>
        </w:rPr>
        <w:t xml:space="preserve">32. Плательщик, сменивший свой адрес и не уведомивший об этом соответствующие органы налоговой службы и орган местного самоуправления, несет ответственность за последствия несвоевременной уплаты сбора, установленную законодательством Кыргызской Республики в сфере недропользования, неналоговых доходов и Кодексом о правонарушениях Кыргызской Республики.</w:t>
      </w:r>
    </w:p>
    <w:p>
      <w:pPr>
        <w:spacing w:after="120"/>
        <w:ind w:firstLine="397"/>
        <w:jc w:val="both"/>
      </w:pPr>
      <w:r>
        <w:rPr>
          <w:rFonts w:ascii="Arial" w:cs="Arial" w:eastAsia="Arial" w:hAnsi="Arial"/>
          <w:sz w:val="24"/>
          <w:szCs w:val="24"/>
        </w:rPr>
        <w:t xml:space="preserve">33. Уплата сбора производится в местные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120"/>
        <w:ind w:firstLine="397"/>
        <w:jc w:val="both"/>
      </w:pPr>
      <w:r>
        <w:rPr>
          <w:rFonts w:ascii="Arial" w:cs="Arial" w:eastAsia="Arial" w:hAnsi="Arial"/>
          <w:sz w:val="24"/>
          <w:szCs w:val="24"/>
        </w:rPr>
        <w:t xml:space="preserve">34.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p>
      <w:pPr>
        <w:spacing w:after="120"/>
        <w:ind w:firstLine="39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ind w:firstLine="397"/>
        <w:jc w:val="both"/>
      </w:pPr>
      <w:r>
        <w:rPr>
          <w:rFonts w:ascii="Arial" w:cs="Arial" w:eastAsia="Arial" w:hAnsi="Arial"/>
          <w:sz w:val="24"/>
          <w:szCs w:val="24"/>
        </w:rPr>
        <w:t xml:space="preserve">35. Территориальное и/или функциональное подразделение уполномоченного налогового органа по месту нахождения лицензионных площадей открывают карточки лицевого счета по сбору. В карточке лицевого счета отражаются начисленная сумма сбора и фактически уплаченная сумма сбора, а также начисленная пеня.</w:t>
      </w:r>
    </w:p>
    <w:p>
      <w:pPr>
        <w:spacing w:after="120"/>
        <w:ind w:firstLine="397"/>
        <w:jc w:val="both"/>
      </w:pPr>
      <w:r>
        <w:rPr>
          <w:rFonts w:ascii="Arial" w:cs="Arial" w:eastAsia="Arial" w:hAnsi="Arial"/>
          <w:sz w:val="24"/>
          <w:szCs w:val="24"/>
        </w:rPr>
        <w:t xml:space="preserve">Прекращение (аннулирование) действия лицензии на право пользования недрами не является основанием для освобождения от уплаты сбора за период удержания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Порядок взыскания задолженности по сбору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Администрирование по части взыскания задолженности по сбору за удержание лицензии на право пользования недрами регулируется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В случае полной или частичной неуплаты платежа и/или нарушения сроков уплаты платежа, соответствующий территориальный налоговый орган обязан направить УГО по недропользованию копию извещения об обеспечении исполнения задолженности по налогам, неналоговым доходам и страховым взносам, признанной налогоплательщиком (далее - извещения), в течение 5 рабочих дней со дня вынесения извещения для приостановления действия лицензии на право пользования недрами.</w:t>
      </w:r>
    </w:p>
    <w:p>
      <w:pPr>
        <w:spacing w:after="120"/>
        <w:ind w:firstLine="397"/>
        <w:jc w:val="both"/>
      </w:pPr>
      <w:r>
        <w:rPr>
          <w:rFonts w:ascii="Arial" w:cs="Arial" w:eastAsia="Arial" w:hAnsi="Arial"/>
          <w:sz w:val="24"/>
          <w:szCs w:val="24"/>
        </w:rPr>
        <w:t xml:space="preserve">37. УГО по недропользованию в течение 5 рабочих дней со дня получения от соответствующего территориального налогового органа копии извещения приостанавливает действие лицензии на право пользования недрами до полного погашения задолженности по сбору. При этом в течение 10 рабочих дней со дня принятия решения УГО по недропользованию направляет соответствующему территориальному налоговому органу выписку из решения о приостановлении действия лицензии на право пользования недрами.</w:t>
      </w:r>
    </w:p>
    <w:p>
      <w:pPr>
        <w:spacing w:after="120"/>
        <w:ind w:firstLine="397"/>
        <w:jc w:val="both"/>
      </w:pPr>
      <w:r>
        <w:rPr>
          <w:rFonts w:ascii="Arial" w:cs="Arial" w:eastAsia="Arial" w:hAnsi="Arial"/>
          <w:sz w:val="24"/>
          <w:szCs w:val="24"/>
        </w:rPr>
        <w:t xml:space="preserve">38. В случае непогашения задолженности по сбору плательщиком в течение срока приостановления действия лицензии на право пользования недрами, согласно законодательству в сфере недропользования в течение 5 рабочих дней УГО по недропользованию прекращает (аннулирует) действие лицензии на право пользования недрами. УГО по недропользованию в течение 10 рабочих дней с даты принятия решения о прекращении (аннулировании) действия лицензии на право пользования недрами направляет выписку из решения плательщику и в органы налоговой службы с указанием оснований принятия такого решения.</w:t>
      </w:r>
    </w:p>
    <w:p>
      <w:pPr>
        <w:spacing w:after="120"/>
        <w:ind w:firstLine="397"/>
        <w:jc w:val="both"/>
      </w:pPr>
      <w:r>
        <w:rPr>
          <w:rFonts w:ascii="Arial" w:cs="Arial" w:eastAsia="Arial" w:hAnsi="Arial"/>
          <w:sz w:val="24"/>
          <w:szCs w:val="24"/>
        </w:rPr>
        <w:t xml:space="preserve">Указанные в настоящей главе документы по обмену сведениями направляются в бумажном или электронном формате.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заполнения и представления расчета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Расчет по сбору за удержание лицензий на право пользования недрами при поиске, разведке и разработке (далее - расчет сбора) представляется через КН. Электронный документ должен быть заверен электронной подписью плательщика.</w:t>
      </w:r>
    </w:p>
    <w:p>
      <w:pPr>
        <w:spacing w:after="120"/>
        <w:ind w:firstLine="397"/>
        <w:jc w:val="both"/>
      </w:pPr>
      <w:r>
        <w:rPr>
          <w:rFonts w:ascii="Arial" w:cs="Arial" w:eastAsia="Arial" w:hAnsi="Arial"/>
          <w:sz w:val="24"/>
          <w:szCs w:val="24"/>
        </w:rPr>
        <w:t xml:space="preserve">Информацию о получении налоговым органом расчета сбора плательщик получает через КН. Информация о порядке представления расчета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40. Разделы, заполняемые плательщиками в расчете по сбору за удержание лицензий на право пользования недрами при поиске, разведке и разработке (на стадии проектирования) - FORM STI-176 по форме согласно </w:t>
      </w:r>
      <w:hyperlink w:history="1" r:id="rIdelsumkz52tczpbnyv0f6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 в ячейке 001:</w:t>
      </w:r>
    </w:p>
    <w:p>
      <w:pPr>
        <w:spacing w:after="120"/>
        <w:ind w:firstLine="397"/>
        <w:jc w:val="both"/>
      </w:pPr>
      <w:r>
        <w:rPr>
          <w:rFonts w:ascii="Arial" w:cs="Arial" w:eastAsia="Arial" w:hAnsi="Arial"/>
          <w:sz w:val="24"/>
          <w:szCs w:val="24"/>
        </w:rPr>
        <w:t xml:space="preserve">-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лицензией менее календарного года, ошибок и в случаях, приводящих к изменению суммы сбора;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41.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указывается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расчет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42. Раздел II. Расчет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 в графе 1 указывается вид недропользования (поиск, разведка);</w:t>
      </w:r>
    </w:p>
    <w:p>
      <w:pPr>
        <w:spacing w:after="120"/>
        <w:ind w:firstLine="397"/>
        <w:jc w:val="both"/>
      </w:pPr>
      <w:r>
        <w:rPr>
          <w:rFonts w:ascii="Arial" w:cs="Arial" w:eastAsia="Arial" w:hAnsi="Arial"/>
          <w:sz w:val="24"/>
          <w:szCs w:val="24"/>
        </w:rPr>
        <w:t xml:space="preserve">- в графе 2 указывается вид бюджета: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указывается через всплывающий список виды полезных ископаемых;</w:t>
      </w:r>
    </w:p>
    <w:p>
      <w:pPr>
        <w:spacing w:after="120"/>
        <w:ind w:firstLine="397"/>
        <w:jc w:val="both"/>
      </w:pPr>
      <w:r>
        <w:rPr>
          <w:rFonts w:ascii="Arial" w:cs="Arial" w:eastAsia="Arial" w:hAnsi="Arial"/>
          <w:sz w:val="24"/>
          <w:szCs w:val="24"/>
        </w:rPr>
        <w:t xml:space="preserve">- в графе 5 указываются сроки владения лицензией, количество по годам;</w:t>
      </w:r>
    </w:p>
    <w:p>
      <w:pPr>
        <w:spacing w:after="120"/>
        <w:ind w:firstLine="397"/>
        <w:jc w:val="both"/>
      </w:pPr>
      <w:r>
        <w:rPr>
          <w:rFonts w:ascii="Arial" w:cs="Arial" w:eastAsia="Arial" w:hAnsi="Arial"/>
          <w:sz w:val="24"/>
          <w:szCs w:val="24"/>
        </w:rPr>
        <w:t xml:space="preserve">- в графе 6 указываются сроки владения лицензией по месяцам, владение лицензией за текущий год;</w:t>
      </w:r>
    </w:p>
    <w:p>
      <w:pPr>
        <w:spacing w:after="120"/>
        <w:ind w:firstLine="397"/>
        <w:jc w:val="both"/>
      </w:pPr>
      <w:r>
        <w:rPr>
          <w:rFonts w:ascii="Arial" w:cs="Arial" w:eastAsia="Arial" w:hAnsi="Arial"/>
          <w:sz w:val="24"/>
          <w:szCs w:val="24"/>
        </w:rPr>
        <w:t xml:space="preserve">- в графе 7 указывается размер площади (в квадратных метрах) лицензии на право пользования недрами;</w:t>
      </w:r>
    </w:p>
    <w:p>
      <w:pPr>
        <w:spacing w:after="120"/>
        <w:ind w:firstLine="397"/>
        <w:jc w:val="both"/>
      </w:pPr>
      <w:r>
        <w:rPr>
          <w:rFonts w:ascii="Arial" w:cs="Arial" w:eastAsia="Arial" w:hAnsi="Arial"/>
          <w:sz w:val="24"/>
          <w:szCs w:val="24"/>
        </w:rPr>
        <w:t xml:space="preserve">- в графе 8 на ячейках указываются ставки сбора за удержание лицензий на право пользования недрами при поиске полезных ископаемых согласно </w:t>
      </w:r>
      <w:hyperlink w:history="1" r:id="rIdrlejv1drlfzecdlojg8o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разведке полезных ископаемых - согласно </w:t>
      </w:r>
      <w:hyperlink w:history="1" r:id="rIdkumemssduo9s1kp26yn6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9 указывается расчетный показатель (МРП), то есть РП - расчетный показатель согласно </w:t>
      </w:r>
      <w:hyperlink w:history="1" r:id="rIdp5-hrw5qkngfsu7r0eqc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10 указывается сумма сбора по формуле (графа 7 х графа 8 х графа 9);</w:t>
      </w:r>
    </w:p>
    <w:p>
      <w:pPr>
        <w:spacing w:after="120"/>
        <w:ind w:firstLine="397"/>
        <w:jc w:val="both"/>
      </w:pPr>
      <w:r>
        <w:rPr>
          <w:rFonts w:ascii="Arial" w:cs="Arial" w:eastAsia="Arial" w:hAnsi="Arial"/>
          <w:sz w:val="24"/>
          <w:szCs w:val="24"/>
        </w:rPr>
        <w:t xml:space="preserve">- в графе 11 указывается сумма сбора за месяц согласно формуле (графа 10/12 мес.), то есть годовая сумма делится на 12 месяцев (сумма платежа за год распределяется по месяцам);</w:t>
      </w:r>
    </w:p>
    <w:p>
      <w:pPr>
        <w:spacing w:after="120"/>
        <w:ind w:firstLine="397"/>
        <w:jc w:val="both"/>
      </w:pPr>
      <w:r>
        <w:rPr>
          <w:rFonts w:ascii="Arial" w:cs="Arial" w:eastAsia="Arial" w:hAnsi="Arial"/>
          <w:sz w:val="24"/>
          <w:szCs w:val="24"/>
        </w:rPr>
        <w:t xml:space="preserve">- в графе 12 указывается фактическая сумма сбора согласно формуле (графа 11 х графа 12), то есть полученное значение умножается на фактическое количество месяцев владения и распределяется по соответствующим месяцам;</w:t>
      </w:r>
    </w:p>
    <w:p>
      <w:pPr>
        <w:spacing w:after="120"/>
        <w:ind w:firstLine="397"/>
        <w:jc w:val="both"/>
      </w:pPr>
      <w:r>
        <w:rPr>
          <w:rFonts w:ascii="Arial" w:cs="Arial" w:eastAsia="Arial" w:hAnsi="Arial"/>
          <w:sz w:val="24"/>
          <w:szCs w:val="24"/>
        </w:rPr>
        <w:t xml:space="preserve">- в ячейке 512 указывается итоговая сумма сбора с графы 12, затем проставляются суммы сбора по месяцам владения с учетом изменений платежного обязательства;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лицензий равными долями в течение текущего платежного периода и уплачивается ежемесячно в срок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43. В случае владения лицензией менее календарного года, рассчитывается сумма сбора фактического владения лицензией, то есть годовая сумма сбора делится на 12 месяцев, затем полученное значение умножается на фактическое количество месяцев владения лицензией.</w:t>
      </w:r>
    </w:p>
    <w:p>
      <w:pPr>
        <w:spacing w:after="120"/>
        <w:ind w:firstLine="397"/>
        <w:jc w:val="both"/>
      </w:pPr>
      <w:r>
        <w:rPr>
          <w:rFonts w:ascii="Arial" w:cs="Arial" w:eastAsia="Arial" w:hAnsi="Arial"/>
          <w:sz w:val="24"/>
          <w:szCs w:val="24"/>
        </w:rPr>
        <w:t xml:space="preserve">В случае корректировки или перерасчета представляется уточненный расчет, проставляется сумма сбора по месяцам владения с учетом изменений обязательства плательщика.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заполнения и представления отчета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пользование</w:t>
      </w:r>
    </w:p>
    <w:p>
      <w:pPr>
        <w:spacing w:after="240" w:before="200"/>
        <w:jc w:val="center"/>
      </w:pPr>
      <w:r>
        <w:rPr>
          <w:rFonts w:ascii="Arial" w:cs="Arial" w:eastAsia="Arial" w:hAnsi="Arial"/>
          <w:b/>
          <w:bCs/>
          <w:sz w:val="32"/>
          <w:szCs w:val="32"/>
        </w:rPr>
        <w:t xml:space="preserve">недрами при разработке (на стадии проведения работ)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Отчет сбора представляется через КН, электронный документ должен быть заверен электронной подписью плательщика. Плательщик получает информацию о получении отчетности по сбору налоговым органом через КН. Полная информация о порядке представления отчета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45. Разделы, заполняемые в отчете по сбору за удержание лицензий на право пользования недрами при разработке (на стадии проведения работ) - FORM STI-177 по форме согласно </w:t>
      </w:r>
      <w:hyperlink w:history="1" r:id="rIdzescwlgk-xgyr2lz2hkq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ячейке 001 -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объектом имущества менее календарного года, ошибок и в случаях, приводящих к изменению суммы платежа;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46.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указываются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отчет сбора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47. Раздел II. Расчет сбора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 в графе 1 указывается через всплывающий список вид полезных ископаемых;</w:t>
      </w:r>
    </w:p>
    <w:p>
      <w:pPr>
        <w:spacing w:after="120"/>
        <w:ind w:firstLine="397"/>
        <w:jc w:val="both"/>
      </w:pPr>
      <w:r>
        <w:rPr>
          <w:rFonts w:ascii="Arial" w:cs="Arial" w:eastAsia="Arial" w:hAnsi="Arial"/>
          <w:sz w:val="24"/>
          <w:szCs w:val="24"/>
        </w:rPr>
        <w:t xml:space="preserve">- в графе 2 указывается вид бюджета -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указываются сроки владения лицензией (год);</w:t>
      </w:r>
    </w:p>
    <w:p>
      <w:pPr>
        <w:spacing w:after="120"/>
        <w:ind w:firstLine="397"/>
        <w:jc w:val="both"/>
      </w:pPr>
      <w:r>
        <w:rPr>
          <w:rFonts w:ascii="Arial" w:cs="Arial" w:eastAsia="Arial" w:hAnsi="Arial"/>
          <w:sz w:val="24"/>
          <w:szCs w:val="24"/>
        </w:rPr>
        <w:t xml:space="preserve">- в графе 5 на ячейках отражается размер площади, указанный на лицензии, в квадратных метрах;</w:t>
      </w:r>
    </w:p>
    <w:p>
      <w:pPr>
        <w:spacing w:after="120"/>
        <w:ind w:firstLine="397"/>
        <w:jc w:val="both"/>
      </w:pPr>
      <w:r>
        <w:rPr>
          <w:rFonts w:ascii="Arial" w:cs="Arial" w:eastAsia="Arial" w:hAnsi="Arial"/>
          <w:sz w:val="24"/>
          <w:szCs w:val="24"/>
        </w:rPr>
        <w:t xml:space="preserve">- в графе 6 указывается ставка сбора за квадратный метр и по годам согласно </w:t>
      </w:r>
      <w:hyperlink w:history="1" r:id="rIdbva9u16vfq6bywmj_eqi8">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7 указывается расчетный показатель (МРП), то есть РП - расчетный показатель согласно </w:t>
      </w:r>
      <w:hyperlink w:history="1" r:id="rId-qo9txqignh7z5rja1ft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8 указывается сумма сбора (графа 5 х графа 6 х графа 7);</w:t>
      </w:r>
    </w:p>
    <w:p>
      <w:pPr>
        <w:spacing w:after="120"/>
        <w:ind w:firstLine="397"/>
        <w:jc w:val="both"/>
      </w:pPr>
      <w:r>
        <w:rPr>
          <w:rFonts w:ascii="Arial" w:cs="Arial" w:eastAsia="Arial" w:hAnsi="Arial"/>
          <w:sz w:val="24"/>
          <w:szCs w:val="24"/>
        </w:rPr>
        <w:t xml:space="preserve">- в графе 9 указывается годовая добыча полезного ископаемого по условиям лицензионного соглашения;</w:t>
      </w:r>
    </w:p>
    <w:p>
      <w:pPr>
        <w:spacing w:after="120"/>
        <w:ind w:firstLine="397"/>
        <w:jc w:val="both"/>
      </w:pPr>
      <w:r>
        <w:rPr>
          <w:rFonts w:ascii="Arial" w:cs="Arial" w:eastAsia="Arial" w:hAnsi="Arial"/>
          <w:sz w:val="24"/>
          <w:szCs w:val="24"/>
        </w:rPr>
        <w:t xml:space="preserve">- в графе 10 указывается фактическая добыча за год;</w:t>
      </w:r>
    </w:p>
    <w:p>
      <w:pPr>
        <w:spacing w:after="120"/>
        <w:ind w:firstLine="397"/>
        <w:jc w:val="both"/>
      </w:pPr>
      <w:r>
        <w:rPr>
          <w:rFonts w:ascii="Arial" w:cs="Arial" w:eastAsia="Arial" w:hAnsi="Arial"/>
          <w:sz w:val="24"/>
          <w:szCs w:val="24"/>
        </w:rPr>
        <w:t xml:space="preserve">- в графе 11 указывается выполнение условий лицензионного соглашения в % (гр. 10 / гр. 9 х 100%);</w:t>
      </w:r>
    </w:p>
    <w:p>
      <w:pPr>
        <w:spacing w:after="120"/>
        <w:ind w:firstLine="397"/>
        <w:jc w:val="both"/>
      </w:pPr>
      <w:r>
        <w:rPr>
          <w:rFonts w:ascii="Arial" w:cs="Arial" w:eastAsia="Arial" w:hAnsi="Arial"/>
          <w:sz w:val="24"/>
          <w:szCs w:val="24"/>
        </w:rPr>
        <w:t xml:space="preserve">- в графе 12 указывается невыполнение условий лицензионного соглашения в % (гр. 9 - гр. 10) в %;</w:t>
      </w:r>
    </w:p>
    <w:p>
      <w:pPr>
        <w:spacing w:after="120"/>
        <w:ind w:firstLine="397"/>
        <w:jc w:val="both"/>
      </w:pPr>
      <w:r>
        <w:rPr>
          <w:rFonts w:ascii="Arial" w:cs="Arial" w:eastAsia="Arial" w:hAnsi="Arial"/>
          <w:sz w:val="24"/>
          <w:szCs w:val="24"/>
        </w:rPr>
        <w:t xml:space="preserve">- в графе 13 указывается сумма сбора (гр. 8 х гр. 12);</w:t>
      </w:r>
    </w:p>
    <w:p>
      <w:pPr>
        <w:spacing w:after="120"/>
        <w:ind w:firstLine="397"/>
        <w:jc w:val="both"/>
      </w:pPr>
      <w:r>
        <w:rPr>
          <w:rFonts w:ascii="Arial" w:cs="Arial" w:eastAsia="Arial" w:hAnsi="Arial"/>
          <w:sz w:val="24"/>
          <w:szCs w:val="24"/>
        </w:rPr>
        <w:t xml:space="preserve">- в ячейке 512 указывается итоговая сумма сбора;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лицензии при разработке (на стадии проведения работ) равными долями в течение текущего платежного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(перерасчет/корректировочный) сбора за удержание</w:t>
      </w:r>
    </w:p>
    <w:p>
      <w:pPr>
        <w:spacing w:after="240" w:before="200"/>
        <w:jc w:val="center"/>
      </w:pPr>
      <w:r>
        <w:rPr>
          <w:rFonts w:ascii="Arial" w:cs="Arial" w:eastAsia="Arial" w:hAnsi="Arial"/>
          <w:b/>
          <w:bCs/>
          <w:sz w:val="32"/>
          <w:szCs w:val="32"/>
        </w:rPr>
        <w:t xml:space="preserve">лицензии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 месторождений полезных</w:t>
      </w:r>
    </w:p>
    <w:p>
      <w:pPr>
        <w:spacing w:after="240" w:before="200"/>
        <w:jc w:val="center"/>
      </w:pPr>
      <w:r>
        <w:rPr>
          <w:rFonts w:ascii="Arial" w:cs="Arial" w:eastAsia="Arial" w:hAnsi="Arial"/>
          <w:b/>
          <w:bCs/>
          <w:sz w:val="32"/>
          <w:szCs w:val="32"/>
        </w:rPr>
        <w:t xml:space="preserve">ископаемых за 20__ 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составления расчета сбора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556"/>
        <w:gridCol w:w="556"/>
        <w:gridCol w:w="556"/>
        <w:gridCol w:w="556"/>
        <w:gridCol w:w="556"/>
        <w:gridCol w:w="556"/>
        <w:gridCol w:w="571"/>
        <w:gridCol w:w="571"/>
        <w:gridCol w:w="571"/>
        <w:gridCol w:w="571"/>
        <w:gridCol w:w="571"/>
        <w:gridCol w:w="571"/>
        <w:gridCol w:w="571"/>
        <w:gridCol w:w="571"/>
        <w:gridCol w:w="571"/>
        <w:gridCol w:w="571"/>
        <w:gridCol w:w="571"/>
      </w:tblGrid>
      <w:tr>
        <w:tc>
          <w:tcPr>
            <w:tcW w:type="dxa" w:w="3892"/>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8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налоговый </w:t>
            </w:r>
          </w:p>
          <w:p>
            <w:pPr>
              <w:jc w:val="left"/>
            </w:pPr>
            <w:r>
              <w:rPr>
                <w:rFonts w:ascii="Arial" w:cs="Arial" w:eastAsia="Arial" w:hAnsi="Arial"/>
                <w:sz w:val="24"/>
                <w:szCs w:val="24"/>
              </w:rPr>
              <w:t xml:space="preserve">номер</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налогового </w:t>
            </w:r>
          </w:p>
          <w:p>
            <w:pPr>
              <w:jc w:val="left"/>
            </w:pPr>
            <w:r>
              <w:rPr>
                <w:rFonts w:ascii="Arial" w:cs="Arial" w:eastAsia="Arial" w:hAnsi="Arial"/>
                <w:sz w:val="24"/>
                <w:szCs w:val="24"/>
              </w:rPr>
              <w:t xml:space="preserve">органа по учетной регистрации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w:t>
            </w:r>
          </w:p>
          <w:p>
            <w:pPr>
              <w:jc w:val="left"/>
            </w:pPr>
            <w:r>
              <w:rPr>
                <w:rFonts w:ascii="Arial" w:cs="Arial" w:eastAsia="Arial" w:hAnsi="Arial"/>
                <w:sz w:val="24"/>
                <w:szCs w:val="24"/>
              </w:rPr>
              <w:t xml:space="preserve">недропользования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полезного ископаемого</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 (поиск, </w:t>
            </w:r>
          </w:p>
          <w:p>
            <w:pPr>
              <w:jc w:val="left"/>
            </w:pPr>
            <w:r>
              <w:rPr>
                <w:rFonts w:ascii="Arial" w:cs="Arial" w:eastAsia="Arial" w:hAnsi="Arial"/>
                <w:sz w:val="24"/>
                <w:szCs w:val="24"/>
              </w:rPr>
              <w:t xml:space="preserve">разведка)</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лицензии (возобновление, </w:t>
            </w:r>
          </w:p>
          <w:p>
            <w:pPr>
              <w:jc w:val="left"/>
            </w:pPr>
            <w:r>
              <w:rPr>
                <w:rFonts w:ascii="Arial" w:cs="Arial" w:eastAsia="Arial" w:hAnsi="Arial"/>
                <w:sz w:val="24"/>
                <w:szCs w:val="24"/>
              </w:rPr>
              <w:t xml:space="preserve">восстановление, прекращение </w:t>
            </w:r>
          </w:p>
          <w:p>
            <w:pPr>
              <w:jc w:val="left"/>
            </w:pPr>
            <w:r>
              <w:rPr>
                <w:rFonts w:ascii="Arial" w:cs="Arial" w:eastAsia="Arial" w:hAnsi="Arial"/>
                <w:sz w:val="24"/>
                <w:szCs w:val="24"/>
              </w:rPr>
              <w:t xml:space="preserve">(аннулирование), трансформация, </w:t>
            </w:r>
          </w:p>
          <w:p>
            <w:pPr>
              <w:jc w:val="left"/>
            </w:pPr>
            <w:r>
              <w:rPr>
                <w:rFonts w:ascii="Arial" w:cs="Arial" w:eastAsia="Arial" w:hAnsi="Arial"/>
                <w:sz w:val="24"/>
                <w:szCs w:val="24"/>
              </w:rPr>
              <w:t xml:space="preserve">передача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землеустройству </w:t>
            </w:r>
          </w:p>
          <w:p>
            <w:pPr>
              <w:jc w:val="left"/>
            </w:pPr>
            <w:r>
              <w:rPr>
                <w:rFonts w:ascii="Arial" w:cs="Arial" w:eastAsia="Arial" w:hAnsi="Arial"/>
                <w:sz w:val="24"/>
                <w:szCs w:val="24"/>
              </w:rPr>
              <w:t xml:space="preserve">«Кыргызгипрозем»)</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аймак</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бюджета</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42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______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Исчисляется за период с _____ </w:t>
            </w:r>
          </w:p>
          <w:p>
            <w:pPr>
              <w:jc w:val="left"/>
            </w:pPr>
            <w:r>
              <w:rPr>
                <w:rFonts w:ascii="Arial" w:cs="Arial" w:eastAsia="Arial" w:hAnsi="Arial"/>
                <w:sz w:val="24"/>
                <w:szCs w:val="24"/>
              </w:rPr>
              <w:t xml:space="preserve">года по 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за весь срок </w:t>
            </w:r>
          </w:p>
          <w:p>
            <w:pPr>
              <w:jc w:val="left"/>
            </w:pPr>
            <w:r>
              <w:rPr>
                <w:rFonts w:ascii="Arial" w:cs="Arial" w:eastAsia="Arial" w:hAnsi="Arial"/>
                <w:sz w:val="24"/>
                <w:szCs w:val="24"/>
              </w:rPr>
              <w:t xml:space="preserve">удержания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Уплата за каждый месяц</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удержание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удержания лицензии за </w:t>
            </w:r>
          </w:p>
          <w:p>
            <w:pPr>
              <w:jc w:val="left"/>
            </w:pPr>
            <w:r>
              <w:rPr>
                <w:rFonts w:ascii="Arial" w:cs="Arial" w:eastAsia="Arial" w:hAnsi="Arial"/>
                <w:sz w:val="24"/>
                <w:szCs w:val="24"/>
              </w:rPr>
              <w:t xml:space="preserve">весь срок удержания лицензией</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w:t>
            </w:r>
          </w:p>
          <w:p>
            <w:pPr>
              <w:jc w:val="left"/>
            </w:pPr>
            <w:r>
              <w:rPr>
                <w:rFonts w:ascii="Arial" w:cs="Arial" w:eastAsia="Arial" w:hAnsi="Arial"/>
                <w:sz w:val="24"/>
                <w:szCs w:val="24"/>
              </w:rPr>
              <w:t xml:space="preserve">за 20__ г.</w:t>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Расчет сбора за удержание лицензии при поиске, разведке и разработке (на стадии проектирования) месторождений полезных ископаемых представляется через кабинет налогоплательщика до 1 апреля текущего года.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расчет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gdbxuwl9t6qaqtv1fjzv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(корректировка) сбора за удержание лицензии при</w:t>
      </w:r>
    </w:p>
    <w:p>
      <w:pPr>
        <w:spacing w:after="240" w:before="200"/>
        <w:jc w:val="center"/>
      </w:pPr>
      <w:r>
        <w:rPr>
          <w:rFonts w:ascii="Arial" w:cs="Arial" w:eastAsia="Arial" w:hAnsi="Arial"/>
          <w:b/>
          <w:bCs/>
          <w:sz w:val="32"/>
          <w:szCs w:val="32"/>
        </w:rPr>
        <w:t xml:space="preserve">разработке (на стадии проведения работ)</w:t>
      </w:r>
    </w:p>
    <w:p>
      <w:pPr>
        <w:spacing w:after="240" w:before="200"/>
        <w:jc w:val="center"/>
      </w:pPr>
      <w:r>
        <w:rPr>
          <w:rFonts w:ascii="Arial" w:cs="Arial" w:eastAsia="Arial" w:hAnsi="Arial"/>
          <w:b/>
          <w:bCs/>
          <w:sz w:val="32"/>
          <w:szCs w:val="32"/>
        </w:rPr>
        <w:t xml:space="preserve">месторождений полезных ископаемых за отчетный</w:t>
      </w:r>
    </w:p>
    <w:p>
      <w:pPr>
        <w:spacing w:after="240" w:before="200"/>
        <w:jc w:val="center"/>
      </w:pPr>
      <w:r>
        <w:rPr>
          <w:rFonts w:ascii="Arial" w:cs="Arial" w:eastAsia="Arial" w:hAnsi="Arial"/>
          <w:b/>
          <w:bCs/>
          <w:sz w:val="32"/>
          <w:szCs w:val="32"/>
        </w:rPr>
        <w:t xml:space="preserve">20__год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составление отчета сбора «___» 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557"/>
        <w:gridCol w:w="557"/>
        <w:gridCol w:w="557"/>
        <w:gridCol w:w="557"/>
        <w:gridCol w:w="557"/>
        <w:gridCol w:w="557"/>
        <w:gridCol w:w="523"/>
        <w:gridCol w:w="523"/>
        <w:gridCol w:w="523"/>
        <w:gridCol w:w="523"/>
        <w:gridCol w:w="523"/>
        <w:gridCol w:w="523"/>
        <w:gridCol w:w="523"/>
        <w:gridCol w:w="523"/>
        <w:gridCol w:w="523"/>
        <w:gridCol w:w="523"/>
        <w:gridCol w:w="523"/>
        <w:gridCol w:w="523"/>
      </w:tblGrid>
      <w:tr>
        <w:tc>
          <w:tcPr>
            <w:tcW w:type="dxa" w:w="3899"/>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7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w:t>
            </w:r>
          </w:p>
          <w:p>
            <w:pPr>
              <w:jc w:val="left"/>
            </w:pPr>
            <w:r>
              <w:rPr>
                <w:rFonts w:ascii="Arial" w:cs="Arial" w:eastAsia="Arial" w:hAnsi="Arial"/>
                <w:sz w:val="24"/>
                <w:szCs w:val="24"/>
              </w:rPr>
              <w:t xml:space="preserve">налоговый номер</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w:t>
            </w:r>
          </w:p>
          <w:p>
            <w:pPr>
              <w:jc w:val="left"/>
            </w:pPr>
            <w:r>
              <w:rPr>
                <w:rFonts w:ascii="Arial" w:cs="Arial" w:eastAsia="Arial" w:hAnsi="Arial"/>
                <w:sz w:val="24"/>
                <w:szCs w:val="24"/>
              </w:rPr>
              <w:t xml:space="preserve">налогового органа по учетной </w:t>
            </w:r>
          </w:p>
          <w:p>
            <w:pPr>
              <w:jc w:val="left"/>
            </w:pPr>
            <w:r>
              <w:rPr>
                <w:rFonts w:ascii="Arial" w:cs="Arial" w:eastAsia="Arial" w:hAnsi="Arial"/>
                <w:sz w:val="24"/>
                <w:szCs w:val="24"/>
              </w:rPr>
              <w:t xml:space="preserve">регистрации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w:t>
            </w:r>
          </w:p>
          <w:p>
            <w:pPr>
              <w:jc w:val="left"/>
            </w:pPr>
            <w:r>
              <w:rPr>
                <w:rFonts w:ascii="Arial" w:cs="Arial" w:eastAsia="Arial" w:hAnsi="Arial"/>
                <w:sz w:val="24"/>
                <w:szCs w:val="24"/>
              </w:rPr>
              <w:t xml:space="preserve"/>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w:t>
            </w:r>
          </w:p>
          <w:p>
            <w:pPr>
              <w:jc w:val="left"/>
            </w:pPr>
            <w:r>
              <w:rPr>
                <w:rFonts w:ascii="Arial" w:cs="Arial" w:eastAsia="Arial" w:hAnsi="Arial"/>
                <w:sz w:val="24"/>
                <w:szCs w:val="24"/>
              </w:rPr>
              <w:t xml:space="preserve">землеустройству </w:t>
            </w:r>
          </w:p>
          <w:p>
            <w:pPr>
              <w:jc w:val="left"/>
            </w:pPr>
            <w:r>
              <w:rPr>
                <w:rFonts w:ascii="Arial" w:cs="Arial" w:eastAsia="Arial" w:hAnsi="Arial"/>
                <w:sz w:val="24"/>
                <w:szCs w:val="24"/>
              </w:rPr>
              <w:t xml:space="preserve">«Кыргызгипрозем»)</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w:t>
            </w:r>
          </w:p>
          <w:p>
            <w:pPr>
              <w:jc w:val="left"/>
            </w:pPr>
            <w:r>
              <w:rPr>
                <w:rFonts w:ascii="Arial" w:cs="Arial" w:eastAsia="Arial" w:hAnsi="Arial"/>
                <w:sz w:val="24"/>
                <w:szCs w:val="24"/>
              </w:rPr>
              <w:t xml:space="preserve">аймак</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лет</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20__ год составит:</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добыча полезного </w:t>
            </w:r>
          </w:p>
          <w:p>
            <w:pPr>
              <w:jc w:val="left"/>
            </w:pPr>
            <w:r>
              <w:rPr>
                <w:rFonts w:ascii="Arial" w:cs="Arial" w:eastAsia="Arial" w:hAnsi="Arial"/>
                <w:sz w:val="24"/>
                <w:szCs w:val="24"/>
              </w:rPr>
              <w:t xml:space="preserve">ископаемого по условиям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Фактическая добыча полезного </w:t>
            </w:r>
          </w:p>
          <w:p>
            <w:pPr>
              <w:jc w:val="left"/>
            </w:pPr>
            <w:r>
              <w:rPr>
                <w:rFonts w:ascii="Arial" w:cs="Arial" w:eastAsia="Arial" w:hAnsi="Arial"/>
                <w:sz w:val="24"/>
                <w:szCs w:val="24"/>
              </w:rPr>
              <w:t xml:space="preserve">ископаемого </w:t>
            </w:r>
          </w:p>
          <w:p>
            <w:pPr>
              <w:jc w:val="left"/>
            </w:pPr>
            <w:r>
              <w:rPr>
                <w:rFonts w:ascii="Arial" w:cs="Arial" w:eastAsia="Arial" w:hAnsi="Arial"/>
                <w:sz w:val="24"/>
                <w:szCs w:val="24"/>
              </w:rPr>
              <w:t xml:space="preserve">  за ____ год</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за </w:t>
            </w:r>
          </w:p>
          <w:p>
            <w:pPr>
              <w:jc w:val="left"/>
            </w:pPr>
            <w:r>
              <w:rPr>
                <w:rFonts w:ascii="Arial" w:cs="Arial" w:eastAsia="Arial" w:hAnsi="Arial"/>
                <w:sz w:val="24"/>
                <w:szCs w:val="24"/>
              </w:rPr>
              <w:t xml:space="preserve">20__ г.</w:t>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Отчет сбора при разработке (на стадии проведения работ) месторождений полезных ископаемых представляется через кабинет налогоплательщика и уплата сбора производится до 1 марта.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отчет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iv1kufos2rl2a7llbyapj">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Ежеквартальная информация о плательщиках сбора за удержание лицензии при поиске,</w:t>
      </w:r>
    </w:p>
    <w:p>
      <w:pPr>
        <w:spacing w:after="240" w:before="200"/>
        <w:jc w:val="center"/>
      </w:pPr>
      <w:r>
        <w:rPr>
          <w:rFonts w:ascii="Arial" w:cs="Arial" w:eastAsia="Arial" w:hAnsi="Arial"/>
          <w:b/>
          <w:bCs/>
          <w:sz w:val="32"/>
          <w:szCs w:val="32"/>
        </w:rPr>
        <w:t xml:space="preserve">разведке и разработке (на стадии проектирования) месторождений полезных ископаемых</w:t>
      </w:r>
    </w:p>
    <w:p>
      <w:pPr>
        <w:spacing w:after="240" w:before="200"/>
        <w:jc w:val="center"/>
      </w:pPr>
      <w:r>
        <w:rPr>
          <w:rFonts w:ascii="Arial" w:cs="Arial" w:eastAsia="Arial" w:hAnsi="Arial"/>
          <w:b/>
          <w:bCs/>
          <w:sz w:val="32"/>
          <w:szCs w:val="32"/>
        </w:rPr>
        <w:t xml:space="preserve">за 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лицензии первоначальный, возобновление, восстановление, прекращение (аннулирование), трансформация, передача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Итоговая сумма сбора за год = (гр. 11 * гр. 12 * гр. 13)</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Ежегодная информация о плательщиках сбора за удержание лицензии при разработке (на</w:t>
      </w:r>
    </w:p>
    <w:p>
      <w:pPr>
        <w:spacing w:after="240" w:before="200"/>
        <w:jc w:val="center"/>
      </w:pPr>
      <w:r>
        <w:rPr>
          <w:rFonts w:ascii="Arial" w:cs="Arial" w:eastAsia="Arial" w:hAnsi="Arial"/>
          <w:b/>
          <w:bCs/>
          <w:sz w:val="32"/>
          <w:szCs w:val="32"/>
        </w:rPr>
        <w:t xml:space="preserve">стадии проведения работ) месторождений полезных ископаемых за _______________ месяц</w:t>
      </w:r>
    </w:p>
    <w:p>
      <w:pPr>
        <w:spacing w:after="240" w:before="200"/>
        <w:jc w:val="center"/>
      </w:pPr>
      <w:r>
        <w:rPr>
          <w:rFonts w:ascii="Arial" w:cs="Arial" w:eastAsia="Arial" w:hAnsi="Arial"/>
          <w:b/>
          <w:bCs/>
          <w:sz w:val="32"/>
          <w:szCs w:val="32"/>
        </w:rPr>
        <w:t xml:space="preserve">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16"/>
        <w:gridCol w:w="224"/>
        <w:gridCol w:w="709"/>
        <w:gridCol w:w="725"/>
        <w:gridCol w:w="733"/>
        <w:gridCol w:w="515"/>
        <w:gridCol w:w="399"/>
        <w:gridCol w:w="474"/>
        <w:gridCol w:w="578"/>
        <w:gridCol w:w="407"/>
        <w:gridCol w:w="312"/>
        <w:gridCol w:w="228"/>
        <w:gridCol w:w="446"/>
        <w:gridCol w:w="307"/>
        <w:gridCol w:w="407"/>
        <w:gridCol w:w="521"/>
        <w:gridCol w:w="595"/>
        <w:gridCol w:w="595"/>
        <w:gridCol w:w="487"/>
        <w:gridCol w:w="521"/>
      </w:tblGrid>
      <w:tr>
        <w:tc>
          <w:tcPr>
            <w:tcW w:type="dxa" w:w="1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бюджета (республиканский, местный)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 (всего количество месяцев)</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2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4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Сбор за удержание лицензии и за отчетный год = (гр. 11 * гр. 12 * гр. 13)</w:t>
            </w:r>
          </w:p>
        </w:tc>
        <w:tc>
          <w:tcPr>
            <w:tcW w:type="dxa" w:w="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Годовая добыча за отчетный год</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добыча за отчетный год</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Выполнение условий лицензионного соглашения в %</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Невыполнение условий лицензионного соглашения в %</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удержание лицензии по условиям соглашения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сбора за месяц</w:t>
            </w:r>
          </w:p>
        </w:tc>
      </w:tr>
      <w:tr>
        <w:tc>
          <w:tcPr>
            <w:tcW w:type="dxa" w:w="1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Контактный номер телефона</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9vwq01mqhvuq-calqyl">
      <w:r>
        <w:rPr>
          <w:rFonts w:ascii="Arial" w:cs="Arial" w:eastAsia="Arial" w:hAnsi="Arial"/>
          <w:color w:val="132D3F"/>
          <w:sz w:val="16"/>
          <w:szCs w:val="16"/>
          <w:u w:val="single"/>
        </w:rPr>
        <w:t xml:space="preserve">dalil.kg/document/230035734</w:t>
      </w:r>
    </w:hyperlink>
  </w:p>
  <w:p>
    <w:pPr>
      <w:spacing w:after="0" w:before="40"/>
      <w:jc w:val="center"/>
    </w:pPr>
    <w:hyperlink w:history="1" r:id="rIdimlwoj0vtsup3wrygd_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qepoes7pt5jvx23vab_" Type="http://schemas.openxmlformats.org/officeDocument/2006/relationships/hyperlink" Target="https://dalil.kg/document/111820#st_14" TargetMode="External"/><Relationship Id="rIdg-sn6w3gpuzcd_khs8roi" Type="http://schemas.openxmlformats.org/officeDocument/2006/relationships/hyperlink" Target="https://dalil.kg/document/111820#st_16" TargetMode="External"/><Relationship Id="rIdv3xo-lqpzhxis3pytq-5q" Type="http://schemas.openxmlformats.org/officeDocument/2006/relationships/hyperlink" Target="https://dalil.kg/document/111820#st_22" TargetMode="External"/><Relationship Id="rIdotik42hgwtndp6n_yfvj9" Type="http://schemas.openxmlformats.org/officeDocument/2006/relationships/hyperlink" Target="https://dalil.kg/document/111820#st_26" TargetMode="External"/><Relationship Id="rIds1lxfxwfeg3yebvte1iq3" Type="http://schemas.openxmlformats.org/officeDocument/2006/relationships/hyperlink" Target="https://dalil.kg/document/111820#st_29" TargetMode="External"/><Relationship Id="rIdes8kp4jywo1pc4_7ltu8a" Type="http://schemas.openxmlformats.org/officeDocument/2006/relationships/hyperlink" Target="https://dalil.kg/document/111820#st_39" TargetMode="External"/><Relationship Id="rIdyzqa2ed7wpiyzki2va4t1" Type="http://schemas.openxmlformats.org/officeDocument/2006/relationships/hyperlink" Target="https://dalil.kg/document/112301#st_13" TargetMode="External"/><Relationship Id="rId7quxbooaznf00f9hc6--p" Type="http://schemas.openxmlformats.org/officeDocument/2006/relationships/hyperlink" Target="https://dalil.kg/document/112301#st_17" TargetMode="External"/><Relationship Id="rIdeiinrszferoxwi_8gvuxi" Type="http://schemas.openxmlformats.org/officeDocument/2006/relationships/hyperlink" Target="https://dalil.kg/document/159385" TargetMode="External"/><Relationship Id="rIdg1dq9wu7mhkhcrcn1a4os" Type="http://schemas.openxmlformats.org/officeDocument/2006/relationships/hyperlink" Target="https://dalil.kg/document/159386" TargetMode="External"/><Relationship Id="rIdt_tcjgwgtq-ahzuzybkdl" Type="http://schemas.openxmlformats.org/officeDocument/2006/relationships/hyperlink" Target="https://dalil.kg/document/159386" TargetMode="External"/><Relationship Id="rIdkv7vgfptoskkdyykdvaqa" Type="http://schemas.openxmlformats.org/officeDocument/2006/relationships/hyperlink" Target="https://dalil.kg/document/159385" TargetMode="External"/><Relationship Id="rIdflpiex7cjvofh_yhsxr1w" Type="http://schemas.openxmlformats.org/officeDocument/2006/relationships/hyperlink" Target="https://dalil.kg/document/111254" TargetMode="External"/><Relationship Id="rIdd1z1m3h2u4gm79mcqlfcv" Type="http://schemas.openxmlformats.org/officeDocument/2006/relationships/hyperlink" Target="https://dalil.kg/document/159386#pr1" TargetMode="External"/><Relationship Id="rIdn9ajovwfmukqh6qzqmnh8" Type="http://schemas.openxmlformats.org/officeDocument/2006/relationships/hyperlink" Target="https://dalil.kg/document/159386#pr2" TargetMode="External"/><Relationship Id="rId1v-l7wke56hrdawvkfj3l" Type="http://schemas.openxmlformats.org/officeDocument/2006/relationships/hyperlink" Target="https://dalil.kg/document/159386#pr3" TargetMode="External"/><Relationship Id="rIdlng_kbiu_mtdc7i0i_ury" Type="http://schemas.openxmlformats.org/officeDocument/2006/relationships/hyperlink" Target="https://dalil.kg/document/159386#pr4" TargetMode="External"/><Relationship Id="rIdocxhrm0cv9eip9n7rc3fs" Type="http://schemas.openxmlformats.org/officeDocument/2006/relationships/hyperlink" Target="https://dalil.kg/document/159386#g7" TargetMode="External"/><Relationship Id="rIdeirufcndf_p0m8gdxmkcq" Type="http://schemas.openxmlformats.org/officeDocument/2006/relationships/hyperlink" Target="https://dalil.kg/document/159386#p7" TargetMode="External"/><Relationship Id="rIdbvkgmj5hrpnz8bbjxfcof" Type="http://schemas.openxmlformats.org/officeDocument/2006/relationships/hyperlink" Target="https://dalil.kg/document/159386#p11" TargetMode="External"/><Relationship Id="rIdgoerhdzqfsd41ogovkpa0" Type="http://schemas.openxmlformats.org/officeDocument/2006/relationships/hyperlink" Target="https://dalil.kg/document/159386#p7" TargetMode="External"/><Relationship Id="rIddkkh-wxbq3h0vris-pguz" Type="http://schemas.openxmlformats.org/officeDocument/2006/relationships/hyperlink" Target="https://dalil.kg/document/159386#pr5" TargetMode="External"/><Relationship Id="rIdpxpcxceohvw2lnik2bp2z" Type="http://schemas.openxmlformats.org/officeDocument/2006/relationships/hyperlink" Target="https://dalil.kg/document/159386#p20" TargetMode="External"/><Relationship Id="rIdh6y4q_knuihfgcoa2yfvj" Type="http://schemas.openxmlformats.org/officeDocument/2006/relationships/hyperlink" Target="https://dalil.kg/document/159386#p13" TargetMode="External"/><Relationship Id="rIdgukgxprwl3l8uj6vzjgs_" Type="http://schemas.openxmlformats.org/officeDocument/2006/relationships/hyperlink" Target="https://dalil.kg/document/159386#p13" TargetMode="External"/><Relationship Id="rIdw9ifrc1yl6yssehmqvfyi" Type="http://schemas.openxmlformats.org/officeDocument/2006/relationships/hyperlink" Target="https://dalil.kg/document/159386#p11" TargetMode="External"/><Relationship Id="rIdtdwylyggvvoklz-6emxqm" Type="http://schemas.openxmlformats.org/officeDocument/2006/relationships/hyperlink" Target="https://dalil.kg/document/159386#p13" TargetMode="External"/><Relationship Id="rId1lpbjr4bdnor0iobas4wi" Type="http://schemas.openxmlformats.org/officeDocument/2006/relationships/hyperlink" Target="https://dalil.kg/document/159386#p21" TargetMode="External"/><Relationship Id="rIdbt7qm9aaau-x21ry2za5r" Type="http://schemas.openxmlformats.org/officeDocument/2006/relationships/hyperlink" Target="https://dalil.kg/document/159386#p22" TargetMode="External"/><Relationship Id="rId9kym7sdads5hjttwk2qjn" Type="http://schemas.openxmlformats.org/officeDocument/2006/relationships/hyperlink" Target="https://dalil.kg/document/159386#p13" TargetMode="External"/><Relationship Id="rIdnw16zg3rdenca3wmgmq42" Type="http://schemas.openxmlformats.org/officeDocument/2006/relationships/hyperlink" Target="https://dalil.kg/document/159386#p13" TargetMode="External"/><Relationship Id="rIdzmyyxadks26ve9mmbo5xa" Type="http://schemas.openxmlformats.org/officeDocument/2006/relationships/hyperlink" Target="https://dalil.kg/document/111254" TargetMode="External"/><Relationship Id="rIdh9hzjj7gp-0h6gheuzobb" Type="http://schemas.openxmlformats.org/officeDocument/2006/relationships/hyperlink" Target="https://dalil.kg/document/159386#p11" TargetMode="External"/><Relationship Id="rIdkm7ipzwi6-komyspangvr" Type="http://schemas.openxmlformats.org/officeDocument/2006/relationships/hyperlink" Target="https://dalil.kg/document/159386#pr6" TargetMode="External"/><Relationship Id="rIdelsumkz52tczpbnyv0f6s" Type="http://schemas.openxmlformats.org/officeDocument/2006/relationships/hyperlink" Target="https://dalil.kg/document/159386#pr2" TargetMode="External"/><Relationship Id="rIdrlejv1drlfzecdlojg8oj" Type="http://schemas.openxmlformats.org/officeDocument/2006/relationships/hyperlink" Target="https://dalil.kg/document/159385#pr2" TargetMode="External"/><Relationship Id="rIdkumemssduo9s1kp26yn6e" Type="http://schemas.openxmlformats.org/officeDocument/2006/relationships/hyperlink" Target="https://dalil.kg/document/159385#pr3" TargetMode="External"/><Relationship Id="rIdp5-hrw5qkngfsu7r0eqcn" Type="http://schemas.openxmlformats.org/officeDocument/2006/relationships/hyperlink" Target="https://dalil.kg/document/1801" TargetMode="External"/><Relationship Id="rIdzescwlgk-xgyr2lz2hkqd" Type="http://schemas.openxmlformats.org/officeDocument/2006/relationships/hyperlink" Target="https://dalil.kg/document/159386#pr4" TargetMode="External"/><Relationship Id="rIdbva9u16vfq6bywmj_eqi8" Type="http://schemas.openxmlformats.org/officeDocument/2006/relationships/hyperlink" Target="https://dalil.kg/document/159385#pr4" TargetMode="External"/><Relationship Id="rId-qo9txqignh7z5rja1ftg" Type="http://schemas.openxmlformats.org/officeDocument/2006/relationships/hyperlink" Target="https://dalil.kg/document/1801" TargetMode="External"/><Relationship Id="rIdgdbxuwl9t6qaqtv1fjzvr" Type="http://schemas.openxmlformats.org/officeDocument/2006/relationships/hyperlink" Target="https://dalil.kg/document/1801" TargetMode="External"/><Relationship Id="rIdiv1kufos2rl2a7llbyapj"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9vwq01mqhvuq-calqyl" Type="http://schemas.openxmlformats.org/officeDocument/2006/relationships/hyperlink" Target="https://dalil.kg/document/230035734" TargetMode="External"/><Relationship Id="rIdimlwoj0vtsup3wrygd_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2026-09-24T11:58:51.498Z</dcterms:created>
  <dcterms:modified xsi:type="dcterms:W3CDTF">2026-09-24T11:58:51.498Z</dcterms:modified>
</cp:coreProperties>
</file>

<file path=docProps/custom.xml><?xml version="1.0" encoding="utf-8"?>
<Properties xmlns="http://schemas.openxmlformats.org/officeDocument/2006/custom-properties" xmlns:vt="http://schemas.openxmlformats.org/officeDocument/2006/docPropsVTypes"/>
</file>