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декабря 2025 года № 820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Перечня специальных средств, применяемых в охране Государственной границы Кыргызской Республики и Порядка применения специальных средств, используемых в охране Государственной границы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r>
        <w:rPr>
          <w:rFonts w:ascii="Arial" w:cs="Arial" w:eastAsia="Arial" w:hAnsi="Arial"/>
          <w:sz w:val="24"/>
          <w:szCs w:val="24"/>
        </w:rPr>
        <w:t xml:space="preserve">статьи 31</w:t>
      </w:r>
      <w:hyperlink w:history="1" r:id="rId5xphowjuwx0vc0ro_3gr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Государственной границе Кыргызской Республики», </w:t>
      </w:r>
      <w:r>
        <w:rPr>
          <w:rFonts w:ascii="Arial" w:cs="Arial" w:eastAsia="Arial" w:hAnsi="Arial"/>
          <w:sz w:val="24"/>
          <w:szCs w:val="24"/>
        </w:rPr>
        <w:t xml:space="preserve">руководствуясь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Кабинет Министров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 </w:t>
      </w:r>
      <w:hyperlink w:history="1" r:id="rId4cblp5ahqcrlwz_gfko7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специальных средств, применяемых в охране Государственной границы Кыргызской Республики, согласно </w:t>
      </w:r>
      <w:hyperlink w:history="1" r:id="rIdlupeo5qk5xjokhfbvdm7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1;</w:t>
        </w:r>
      </w:hyperlink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 </w:t>
      </w:r>
      <w:hyperlink w:history="1" r:id="rIduwgceqs0xvhu3ahtimzz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применения специальных средств, используемых в охране Государственной границы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, согласно приложению 2.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 Признать утратившим силу </w:t>
      </w:r>
      <w:hyperlink w:history="1" r:id="rIdqfjfze4b3k5mvvqn1uxh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</w:t>
      </w:r>
      <w:r>
        <w:rPr>
          <w:rFonts w:ascii="Arial" w:cs="Arial" w:eastAsia="Arial" w:hAnsi="Arial"/>
          <w:sz w:val="24"/>
          <w:szCs w:val="24"/>
        </w:rPr>
        <w:t xml:space="preserve">Об утверждении Перечня и Порядка применения специальных средств в охране Государственной границы Кыргызской Республики» </w:t>
      </w:r>
      <w:r>
        <w:rPr>
          <w:rFonts w:ascii="Arial" w:cs="Arial" w:eastAsia="Arial" w:hAnsi="Arial"/>
          <w:sz w:val="24"/>
          <w:szCs w:val="24"/>
        </w:rPr>
        <w:t xml:space="preserve">от 26 февраля 2016 года № 90.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3. </w:t>
      </w:r>
      <w:r>
        <w:rPr>
          <w:rFonts w:ascii="Arial" w:cs="Arial" w:eastAsia="Arial" w:hAnsi="Arial"/>
          <w:sz w:val="24"/>
          <w:szCs w:val="24"/>
        </w:rPr>
        <w:t xml:space="preserve">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. 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26 декабря 2025 года №102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toa7t-enjhq2nryvkl1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dalil.kg/document/230037979</w:t>
      </w:r>
    </w:hyperlink>
  </w:p>
  <w:p>
    <w:pPr>
      <w:spacing w:after="0" w:before="40"/>
      <w:jc w:val="center"/>
    </w:pPr>
    <w:hyperlink w:history="1" r:id="rIdjycltf33z58ezr17p7xo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xphowjuwx0vc0ro_3gre" Type="http://schemas.openxmlformats.org/officeDocument/2006/relationships/hyperlink" Target="https://dalil.kg/document/111141" TargetMode="External"/><Relationship Id="rId4cblp5ahqcrlwz_gfko7a" Type="http://schemas.openxmlformats.org/officeDocument/2006/relationships/hyperlink" Target="https://dalil.kg/document/230037996" TargetMode="External"/><Relationship Id="rIdlupeo5qk5xjokhfbvdm7d" Type="http://schemas.openxmlformats.org/officeDocument/2006/relationships/hyperlink" Target="https://dalil.kg/document/98384#p1" TargetMode="External"/><Relationship Id="rIduwgceqs0xvhu3ahtimzzh" Type="http://schemas.openxmlformats.org/officeDocument/2006/relationships/hyperlink" Target="https://dalil.kg/document/230038003" TargetMode="External"/><Relationship Id="rIdqfjfze4b3k5mvvqn1uxh7" Type="http://schemas.openxmlformats.org/officeDocument/2006/relationships/hyperlink" Target="https://dalil.kg/document/9838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toa7t-enjhq2nryvkl15" Type="http://schemas.openxmlformats.org/officeDocument/2006/relationships/hyperlink" Target="https://dalil.kg/document/230037979" TargetMode="External"/><Relationship Id="rIdjycltf33z58ezr17p7xo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2026-09-24T01:15:03.515Z</dcterms:created>
  <dcterms:modified xsi:type="dcterms:W3CDTF">2026-09-24T01:15:03.515Z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