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закупочных процедур государственных компаний, в соответствии со статьями </w:t>
      </w:r>
      <w:hyperlink w:history="1" r:id="rIdmhjakzxdwtwjmbmfly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vjrivvb5rthnbxwa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1. Внести в </w:t>
      </w:r>
      <w:hyperlink w:history="1" r:id="rIddbrfivyxzmkigby-cg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pmnovwuq9anq9p0ap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ilwww_blyezbk9aet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1mnkxsitga4ss9kril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оплаты сборов, пошлин, платежей, взносов (членских и вступительных), в том числе связанных с разрешением споров в судах, и платных государственных, муниципальных услуг;»;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выплаты вознаграждения временному внешнему управляющему (осуществляющему временное внешнее управление в хозяйственных обществах); выплаты агентского вознаграждения и заключения агентских договоров (включая субагентские договоры, а также договоры с промоутерами и дистрибьюторами), заключаемых в целях реализации товаров, услуг и продукции заказчика;»;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банковских услуг, в том числе операций и услуг 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финансово-кредитных</w:t>
      </w:r>
      <w:r>
        <w:rPr>
          <w:rFonts w:ascii="Arial" w:cs="Arial" w:eastAsia="Arial" w:hAnsi="Arial"/>
          <w:sz w:val="24"/>
          <w:szCs w:val="24"/>
        </w:rPr>
        <w:t xml:space="preserve"> операторов платежных систем, платежных организаций банков;»;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закупок, осуществляемых за счет средств международных и иностранных финансовых институтов, в том числе банков развития и иных учреждений, финансирующих проекты стратегического и экономического развития;»;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15–17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простейшая закупка – это закупка товаров, работ, услуг и консультационных услуг, совершаемая без заключения договора, по каждой статье плана закупок в течение года на сумму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и муниципальных предприятий – 50 000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хозяйственных обществ, где 50 и более процентов доли участия в уставном капитале принадлежат государству,</w:t>
      </w:r>
      <w:r>
        <w:rPr>
          <w:rFonts w:ascii="Arial" w:cs="Arial" w:eastAsia="Arial" w:hAnsi="Arial"/>
          <w:sz w:val="24"/>
          <w:szCs w:val="24"/>
        </w:rPr>
        <w:t xml:space="preserve">в том числе их дочерних хозяйствующих обществ – 500 000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рамочное соглашение – соглашение, подписанное с одним и/или более поставщиками, в котором оговариваются условия будущего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– информационная система для проведения электронных закупок и/или раскрытия информации о закупках с обязательным раскрытием заказчиками информации о закупках и присужденных договорах в едином государственном информационном портале www.zakupki.okmot.kg в случаях, установленных настоящим Типовым порядком;»;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 слово «контракта» заменить словом «договора»;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Заказчик вправе по итогам имеющихся правоотношений с поставщиком формировать внутренние реестры товаропроизводителей, аттестованных (квалифицированных) поставщиков, в том числе для целей заключения рамочного соглашения. Порядок заключения рамочного соглашения с поставщиками, включенными в данный реестр, и порядок ведения данных реестров определяются во внутренних документах 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после слова «заявки» дополнить словами 
 «, гарантийное обеспечение исполнения договора»;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«процедуры 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«отстраняет поставщика от участия»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Объявление о проведении конкурса размещается в системе и содержит: предмет, срок окончания приема заявок, контактные данные, информацию о применении банковского сопровождения и, при необходимости, планируемую сумму закупки.»;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подробное описание предмета закупок, технические, качественные характеристики закупаемых товаров, работ, услуг и консультационных услуг, включая технические спецификации, проектную документацию на весь объем строительства, планы, чертежи и эскизы, и при необходимости, количество товаров, услуг, включая консультационные услуги, место, где должны быть поставлены товары, выполнены работы, оказаны услуги, включая консультационные услуги;»;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</w:t>
      </w:r>
      <w:r>
        <w:rPr>
          <w:rFonts w:ascii="Arial" w:cs="Arial" w:eastAsia="Arial" w:hAnsi="Arial"/>
          <w:sz w:val="24"/>
          <w:szCs w:val="24"/>
        </w:rPr>
        <w:t xml:space="preserve">–7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основные и общие условия проекта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гарантийное обеспечение конкурсной заявки (декларацию, гарантирующую конкурсную заявку), гарантийное обеспечение исполнения договора (при необходимости);»;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При формировании плана закупок заказчик осуществляет анализ рынка и/или информации по ранее заключенным договорам для определения планируемой стоимости приобретаемых товаров, работ, услуг и консультационных услуг.»;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План закупок содержит наименование закупки, период приобретения включая суммы, выделенные для осуществления закупок, и объемы/количество товаров, работ, услуг и консультационных услуг. Заказчик вправе внести изменения и (или) дополнения в план закупок в любое время в течение периода, на который утвержден план закупок.»;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Конкурс с неограниченным участием может быть применен с целью определения поставщиков, наиболее соответствующих квалификационным требованиям и (или) техническим требованиям к товару, работе, услуге и консультационной услуге.»;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«трех» заменить словом «пяти»;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 завершения модернизации функционала портала заказчик проводит заключение рамочного соглашения на своем сайте, порядок проведения которого устанавливается во внутреннем документе 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«47. </w:t>
      </w:r>
      <w:r>
        <w:rPr>
          <w:rFonts w:ascii="Arial" w:cs="Arial" w:eastAsia="Arial" w:hAnsi="Arial"/>
          <w:sz w:val="24"/>
          <w:szCs w:val="24"/>
        </w:rPr>
        <w:t xml:space="preserve">Рамочные соглашения заключаются с поставщиками, отвечающими требованиям по квалификации и/или технической спецификации. Заказ-заявка может присуждаться участникам рамочных соглашений исходя из предложенной наименьшей цены и условий поставки/выполнения работ/услуг, за исключением 
 подпункта 3 пункта 57 настоящего Типового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аварийно-восстановительных работах заказ-заявка может присуждаться любому из участников рамочных соглашений.»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48 слово «обладателем» заменить словом «обладателей».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Простейшая закупка – это закупка товаров, работ, услуг и консультационных услуг, совершаемая без заключения договора, по каждой статье плана закупок в течение года на сумму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и муниципальных предприятий – 50 000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хозяйственных обществ, где 50 и более процентов доли участия в уставном капитале принадлежат государству, в том числе их дочерних хозяйствующих обществ – 500 000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«</w:t>
      </w:r>
      <w:r>
        <w:rPr>
          <w:rFonts w:ascii="Arial" w:cs="Arial" w:eastAsia="Arial" w:hAnsi="Arial"/>
          <w:sz w:val="24"/>
          <w:szCs w:val="24"/>
        </w:rPr>
        <w:t xml:space="preserve">деятельности заказчика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«с заключением договора по факту выполнения»;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«товаров» дополнить словами «, работ, услуг и консультационных услуг»;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слова «с применением соответствующего метода закупок»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после слов «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дорожно-транспортная </w:t>
      </w:r>
      <w:r>
        <w:rPr>
          <w:rFonts w:ascii="Arial" w:cs="Arial" w:eastAsia="Arial" w:hAnsi="Arial"/>
          <w:sz w:val="24"/>
          <w:szCs w:val="24"/>
        </w:rPr>
        <w:t xml:space="preserve">инфраструктура»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телекоммуникационная инфраструктура, решения информационных технологий),»;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«12) </w:t>
      </w:r>
      <w:r>
        <w:rPr>
          <w:rFonts w:ascii="Arial" w:cs="Arial" w:eastAsia="Arial" w:hAnsi="Arial"/>
          <w:sz w:val="24"/>
          <w:szCs w:val="24"/>
        </w:rPr>
        <w:t xml:space="preserve">если конкурс или запрос котировок не состоялся;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Заказчик не позднее 10 рабочих дней со дня подписания договора о закупке посредством</w:t>
      </w:r>
      <w:r>
        <w:rPr>
          <w:rFonts w:ascii="Arial" w:cs="Arial" w:eastAsia="Arial" w:hAnsi="Arial"/>
          <w:sz w:val="24"/>
          <w:szCs w:val="24"/>
        </w:rPr>
        <w:t xml:space="preserve"> метода</w:t>
      </w:r>
      <w:r>
        <w:rPr>
          <w:rFonts w:ascii="Arial" w:cs="Arial" w:eastAsia="Arial" w:hAnsi="Arial"/>
          <w:sz w:val="24"/>
          <w:szCs w:val="24"/>
        </w:rPr>
        <w:t xml:space="preserve"> прямого заключения договора размещает в системе информацию с обоснованием </w:t>
      </w:r>
      <w:r>
        <w:rPr>
          <w:rFonts w:ascii="Arial" w:cs="Arial" w:eastAsia="Arial" w:hAnsi="Arial"/>
          <w:sz w:val="24"/>
          <w:szCs w:val="24"/>
        </w:rPr>
        <w:t xml:space="preserve">выбора</w:t>
      </w:r>
      <w:r>
        <w:rPr>
          <w:rFonts w:ascii="Arial" w:cs="Arial" w:eastAsia="Arial" w:hAnsi="Arial"/>
          <w:sz w:val="24"/>
          <w:szCs w:val="24"/>
        </w:rPr>
        <w:t xml:space="preserve"> данного метода, о цене и предмете закупки (за исключением конфиденциальных закупок), контрагенте и должностных лицах заказчика, принявшие решение о применении метода прямого заключения договора.»;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58 слова «утверждает в конкурсной документации» заменить словами «устанавливает во внутреннем документе»;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62. В случае несогласия поставщика с решением заказчика по жалобе поставщик вправе обратиться: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хозяйственных обществ, государственных предприятий – в службу внутреннего аудита (внутреннему аудитору);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муниципальных предприятий – в исполнительный орган местного самоуправления.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68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«68. Договоры о закупках заключаются в соответствии с условиями выигравшей конкурсной заявки либо на основании предложения поставщика и регулируются нормами гражданского законодательства Кыргызской Республики.».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2026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jakzxdwtwjmbmflyskw" Type="http://schemas.openxmlformats.org/officeDocument/2006/relationships/hyperlink" Target="http://kodeks.duckdns.org/document/112301#st_13" TargetMode="External"/><Relationship Id="rIdgkvjrivvb5rthnbxwa9rl" Type="http://schemas.openxmlformats.org/officeDocument/2006/relationships/hyperlink" Target="http://kodeks.duckdns.org/document/112301#st_17" TargetMode="External"/><Relationship Id="rIddbrfivyxzmkigby-cg0hw" Type="http://schemas.openxmlformats.org/officeDocument/2006/relationships/hyperlink" Target="http://kodeks.duckdns.org/document/159239" TargetMode="External"/><Relationship Id="rIdrpmnovwuq9anq9p0aplrs" Type="http://schemas.openxmlformats.org/officeDocument/2006/relationships/hyperlink" Target="http://kodeks.duckdns.org/document/159258" TargetMode="External"/><Relationship Id="rIdlilwww_blyezbk9aet2kv" Type="http://schemas.openxmlformats.org/officeDocument/2006/relationships/hyperlink" Target="http://kodeks.duckdns.org/document/159258" TargetMode="External"/><Relationship Id="rId1mnkxsitga4ss9krilw9x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2026-09-23T10:43:49.799Z</dcterms:created>
  <dcterms:modified xsi:type="dcterms:W3CDTF">2026-09-23T10:43:49.799Z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