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32"/>
          <w:szCs w:val="32"/>
        </w:rPr>
        <w:t xml:space="preserve">КЫРГЫЗ РЕСПУБЛИКАСЫНЫН ПРЕЗИДЕНТИНИН</w:t>
      </w:r>
      <w:r>
        <w:rPr>
          <w:rFonts w:ascii="Arial" w:cs="Arial" w:eastAsia="Arial" w:hAnsi="Arial"/>
          <w:b/>
          <w:bCs/>
          <w:sz w:val="44"/>
          <w:szCs w:val="44"/>
        </w:rPr>
        <w:t xml:space="preserve">ЖАРЛЫГЫ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УКАЗ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Атажанове К.Ы.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пунктом 4 части 6 статьи 70, статьей 71 Конституции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8"/>
          <w:szCs w:val="28"/>
        </w:rPr>
        <w:t xml:space="preserve">Назначить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Атажанова Кубанычбека Ысламовича</w:t>
      </w:r>
      <w:r>
        <w:rPr>
          <w:rFonts w:ascii="Arial" w:cs="Arial" w:eastAsia="Arial" w:hAnsi="Arial"/>
          <w:sz w:val="28"/>
          <w:szCs w:val="28"/>
        </w:rPr>
        <w:t xml:space="preserve"> – советника Посольства Кыргызской Республики в Российской Федерации Постоянным и Полномочным представителем Кыргызской Республики в Постоянном совете Организации Договора о коллективной безопасности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g9w9txfkg_uxw-t-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dalil.kg/document/230038870</w:t>
      </w:r>
    </w:hyperlink>
  </w:p>
  <w:p>
    <w:pPr>
      <w:spacing w:after="0" w:before="40"/>
      <w:jc w:val="center"/>
    </w:pPr>
    <w:hyperlink w:history="1" r:id="rIdh1fh2ac6m9q2_uboosn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g9w9txfkg_uxw-t-5pm" Type="http://schemas.openxmlformats.org/officeDocument/2006/relationships/hyperlink" Target="https://dalil.kg/document/230038870" TargetMode="External"/><Relationship Id="rIdh1fh2ac6m9q2_uboosn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2026-09-26T23:38:37.902Z</dcterms:created>
  <dcterms:modified xsi:type="dcterms:W3CDTF">2026-09-26T23:38:37.902Z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