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11 декабря 2025 года № 799</w:t>
      </w:r>
    </w:p>
    <w:p>
      <w:pPr>
        <w:spacing w:after="400" w:before="400"/>
        <w:jc w:val="center"/>
      </w:pPr>
      <w:r>
        <w:rPr>
          <w:rFonts w:ascii="Arial" w:cs="Arial" w:eastAsia="Arial" w:hAnsi="Arial"/>
          <w:b/>
          <w:bCs/>
          <w:sz w:val="28"/>
          <w:szCs w:val="28"/>
        </w:rPr>
        <w:t xml:space="preserve">О внесении изменений в некоторые решения Кабинета Министров Кыргызской Республики в сфере предоставления поручительства субъектам национальной экономики</w:t>
      </w:r>
    </w:p>
    <w:p>
      <w:pPr>
        <w:spacing w:after="60"/>
        <w:ind w:firstLine="567"/>
        <w:jc w:val="both"/>
      </w:pPr>
      <w:r>
        <w:rPr>
          <w:rFonts w:ascii="Arial" w:cs="Arial" w:eastAsia="Arial" w:hAnsi="Arial"/>
          <w:sz w:val="24"/>
          <w:szCs w:val="24"/>
        </w:rPr>
        <w:t xml:space="preserve">В соответствии с частью 1 </w:t>
      </w:r>
      <w:hyperlink w:history="1" r:id="rIdm2bwroe9uy3cubbcwbjdx">
        <w:r>
          <w:rPr>
            <w:rFonts w:ascii="Arial" w:cs="Arial" w:eastAsia="Arial" w:hAnsi="Arial"/>
            <w:color w:val="1D4ED8"/>
            <w:sz w:val="24"/>
            <w:szCs w:val="24"/>
            <w:u w:val="single"/>
          </w:rPr>
          <w:t xml:space="preserve">статьи 63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Бюджетного кодекса Кыргызской Республики, статьями </w:t>
      </w:r>
      <w:hyperlink w:history="1" r:id="rIdzcxm0afw43uqolbqnu90m">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5fph9mapy4wf192_zku2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ijrp7g2-inluqimt-xqo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финансов Кыргызской Республики" от 15 ноября 2021 года № 253 следующее изменение:</w:t>
      </w:r>
    </w:p>
    <w:p>
      <w:pPr>
        <w:spacing w:after="60"/>
        <w:ind w:firstLine="567"/>
        <w:jc w:val="both"/>
      </w:pPr>
      <w:r>
        <w:rPr>
          <w:rFonts w:ascii="Arial" w:cs="Arial" w:eastAsia="Arial" w:hAnsi="Arial"/>
          <w:sz w:val="24"/>
          <w:szCs w:val="24"/>
        </w:rPr>
        <w:t xml:space="preserve">в </w:t>
      </w:r>
      <w:hyperlink w:history="1" r:id="rIdvqhpbg6w0_ip3jmm-fxc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Министерстве финансов Кыргызской Республики, утвержденном вышеуказанным </w:t>
      </w:r>
      <w:hyperlink w:history="1" r:id="rIddwt6yopyeuxhgyo9im9g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абзаце одиннадцатом подпункта 5 пункта 12 текста на государственном языке слово "кепилдикти" заменить словом "кепилчилик".</w:t>
      </w:r>
    </w:p>
    <w:p>
      <w:pPr>
        <w:spacing w:after="60"/>
        <w:ind w:firstLine="567"/>
        <w:jc w:val="both"/>
      </w:pPr>
      <w:r>
        <w:rPr>
          <w:rFonts w:ascii="Arial" w:cs="Arial" w:eastAsia="Arial" w:hAnsi="Arial"/>
          <w:sz w:val="24"/>
          <w:szCs w:val="24"/>
        </w:rPr>
        <w:t xml:space="preserve">2. Внести в </w:t>
      </w:r>
      <w:hyperlink w:history="1" r:id="rIdz97br5r6heck4tsu7cnq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92-1wyzqss7astmma4lo1">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предоставления поручительства субъектам национальной экономики" от 23 сентября 2025 года № 605 следующие изменения:</w:t>
      </w:r>
    </w:p>
    <w:p>
      <w:pPr>
        <w:spacing w:after="60"/>
        <w:ind w:firstLine="567"/>
        <w:jc w:val="both"/>
      </w:pPr>
      <w:r>
        <w:rPr>
          <w:rFonts w:ascii="Arial" w:cs="Arial" w:eastAsia="Arial" w:hAnsi="Arial"/>
          <w:sz w:val="24"/>
          <w:szCs w:val="24"/>
        </w:rPr>
        <w:t xml:space="preserve">1) в названии </w:t>
      </w:r>
      <w:hyperlink w:history="1" r:id="rIdwcn4z2geptspalg6zn2k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на государственном языке слово "кепилдик" заменить словом "кепилчилик";</w:t>
      </w:r>
    </w:p>
    <w:p>
      <w:pPr>
        <w:spacing w:after="60"/>
        <w:ind w:firstLine="567"/>
        <w:jc w:val="both"/>
      </w:pPr>
      <w:r>
        <w:rPr>
          <w:rFonts w:ascii="Arial" w:cs="Arial" w:eastAsia="Arial" w:hAnsi="Arial"/>
          <w:sz w:val="24"/>
          <w:szCs w:val="24"/>
        </w:rPr>
        <w:t xml:space="preserve">2) </w:t>
      </w:r>
      <w:hyperlink w:history="1" r:id="rId4zz0pb11wj7inr8-33bkl">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предоставления поручительства субъектам национальной экономики, утвержденный вышеуказанным </w:t>
      </w:r>
      <w:hyperlink w:history="1" r:id="rId4oiafcdwc-6x6bedalkb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eludhvn1mx7cl8z1sq4gn">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i/>
          <w:iCs/>
          <w:sz w:val="24"/>
          <w:szCs w:val="24"/>
        </w:rPr>
        <w:t xml:space="preserve">Опубликован в официальной государственной газете "Эркин Тоо" от 12 декабря 2025 года № 98 (3755)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A.А.Касымалиев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tgy7phtcpuxttif6ozqzk">
        <w:r>
          <w:rPr>
            <w:rFonts w:ascii="Arial" w:cs="Arial" w:eastAsia="Arial" w:hAnsi="Arial"/>
            <w:color w:val="1D4ED8"/>
            <w:sz w:val="24"/>
            <w:szCs w:val="24"/>
            <w:u w:val="single"/>
          </w:rPr>
          <w:t xml:space="preserve">Приложение</w:t>
        </w:r>
      </w:hyperlink>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предоставления поручительства субъектам национальной экономики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Порядок предоставления поручительства субъектам национальной экономики (далее - Порядок) регламентирует процедуру предоставления поручительства субъектам национальной экономики уполномоченным Кабинетом Министров Кыргызской Республики (далее - Кабинет Министров) лицом.</w:t>
      </w:r>
    </w:p>
    <w:p>
      <w:pPr>
        <w:spacing w:after="60"/>
        <w:ind w:firstLine="567"/>
        <w:jc w:val="both"/>
      </w:pPr>
      <w:r>
        <w:rPr>
          <w:rFonts w:ascii="Arial" w:cs="Arial" w:eastAsia="Arial" w:hAnsi="Arial"/>
          <w:sz w:val="24"/>
          <w:szCs w:val="24"/>
        </w:rPr>
        <w:t xml:space="preserve">2. Поручительство предоставляется юридическим лицам - резидентам Кыргызской Республики по решению Кабинета Министров по согласованию с профильным комитетом Жогорку Кенеша Кыргызской Республики в целях оказания государственной поддержки для обеспечения исполнения обязательств субъектов национальной экономики (далее - субъекты) по кредиту, лизингу или банковской гарантии.</w:t>
      </w:r>
    </w:p>
    <w:p>
      <w:pPr>
        <w:spacing w:after="60"/>
        <w:ind w:firstLine="567"/>
        <w:jc w:val="both"/>
      </w:pPr>
      <w:r>
        <w:rPr>
          <w:rFonts w:ascii="Arial" w:cs="Arial" w:eastAsia="Arial" w:hAnsi="Arial"/>
          <w:sz w:val="24"/>
          <w:szCs w:val="24"/>
        </w:rPr>
        <w:t xml:space="preserve">Поручительство не может быть предоставлено для обеспечения исполнения обязательств субъектов по инвестиционным соглашениям, за исключением случаев, когда участие инвестора в финансировании проекта составляет не менее 30 (тридцать) процентов от общей стоимости проекта, подтвержденной соответствующими документами.</w:t>
      </w:r>
    </w:p>
    <w:p>
      <w:pPr>
        <w:spacing w:after="60"/>
        <w:ind w:firstLine="567"/>
        <w:jc w:val="both"/>
      </w:pPr>
      <w:r>
        <w:rPr>
          <w:rFonts w:ascii="Arial" w:cs="Arial" w:eastAsia="Arial" w:hAnsi="Arial"/>
          <w:sz w:val="24"/>
          <w:szCs w:val="24"/>
        </w:rPr>
        <w:t xml:space="preserve">3. Цель поручительства - оказание государственной поддержки субъектам для обеспечения экономической, национальной и продовольственной безопасности Кыргызской Республики, а также поддержание стабильности и развитие отраслей экономики.</w:t>
      </w:r>
    </w:p>
    <w:p>
      <w:pPr>
        <w:spacing w:after="60"/>
        <w:ind w:firstLine="567"/>
        <w:jc w:val="both"/>
      </w:pPr>
      <w:r>
        <w:rPr>
          <w:rFonts w:ascii="Arial" w:cs="Arial" w:eastAsia="Arial" w:hAnsi="Arial"/>
          <w:sz w:val="24"/>
          <w:szCs w:val="24"/>
        </w:rPr>
        <w:t xml:space="preserve">4. Поручительство предоставляется для обеспечения обязательств полностью или в части, не покрывающейся залоговым обеспечением по кредиту, лизингу или банковской гарантии.</w:t>
      </w:r>
    </w:p>
    <w:p>
      <w:pPr>
        <w:spacing w:after="60"/>
        <w:ind w:firstLine="567"/>
        <w:jc w:val="both"/>
      </w:pPr>
      <w:r>
        <w:rPr>
          <w:rFonts w:ascii="Arial" w:cs="Arial" w:eastAsia="Arial" w:hAnsi="Arial"/>
          <w:sz w:val="24"/>
          <w:szCs w:val="24"/>
        </w:rPr>
        <w:t xml:space="preserve">5. Поручительство предоставляется на срок действия договора, заключенного между кредитором и субъектом, если иное не установлено решением Кабинета Министров.</w:t>
      </w:r>
    </w:p>
    <w:p>
      <w:pPr>
        <w:spacing w:after="60"/>
        <w:ind w:firstLine="567"/>
        <w:jc w:val="both"/>
      </w:pPr>
      <w:r>
        <w:rPr>
          <w:rFonts w:ascii="Arial" w:cs="Arial" w:eastAsia="Arial" w:hAnsi="Arial"/>
          <w:sz w:val="24"/>
          <w:szCs w:val="24"/>
        </w:rPr>
        <w:t xml:space="preserve">6. В настоящем Порядке используются следующие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национальная безопасность</w:t>
      </w:r>
      <w:r>
        <w:rPr>
          <w:rFonts w:ascii="Arial" w:cs="Arial" w:eastAsia="Arial" w:hAnsi="Arial"/>
          <w:sz w:val="24"/>
          <w:szCs w:val="24"/>
        </w:rPr>
        <w:t xml:space="preserve"> - гарантированное состояние защищенности жизненно важных интересов личности, общества и государства от внутренних и внешних угроз;</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уполномоченный государственный орган по прогнозированию и исполнению бюджета</w:t>
      </w:r>
      <w:r>
        <w:rPr>
          <w:rFonts w:ascii="Arial" w:cs="Arial" w:eastAsia="Arial" w:hAnsi="Arial"/>
          <w:sz w:val="24"/>
          <w:szCs w:val="24"/>
        </w:rPr>
        <w:t xml:space="preserve"> - центральный орган исполнительной власти, уполномоченный Кабинетом Министров для выработки государственной политики, координационного регулирования и выполнения исполнительных функций в бюджетной и финансовой сферах;</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уполномоченный государственный орган по экономическому прогнозированию</w:t>
      </w:r>
      <w:r>
        <w:rPr>
          <w:rFonts w:ascii="Arial" w:cs="Arial" w:eastAsia="Arial" w:hAnsi="Arial"/>
          <w:sz w:val="24"/>
          <w:szCs w:val="24"/>
        </w:rPr>
        <w:t xml:space="preserve"> - центральный орган исполнительной власти, уполномоченный Кабинетом Министров для разработки и реализации единой государственной политики в области экономического развития и налоговой сфере;</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поручительство</w:t>
      </w:r>
      <w:r>
        <w:rPr>
          <w:rFonts w:ascii="Arial" w:cs="Arial" w:eastAsia="Arial" w:hAnsi="Arial"/>
          <w:sz w:val="24"/>
          <w:szCs w:val="24"/>
        </w:rPr>
        <w:t xml:space="preserve"> - механизм обеспечения исполнения обязательств субъекта перед финансово-кредитными, международными и иностранными организациями, предоставляемый со стороны лица, уполномоченного Кабинетом Министров на предоставление поручительства;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продовольственная безопасность</w:t>
      </w:r>
      <w:r>
        <w:rPr>
          <w:rFonts w:ascii="Arial" w:cs="Arial" w:eastAsia="Arial" w:hAnsi="Arial"/>
          <w:sz w:val="24"/>
          <w:szCs w:val="24"/>
        </w:rPr>
        <w:t xml:space="preserve"> - состояние экономики Кыргызской Республики, при котором обеспечивается продовольственная независимость республики и гарантируется физическая и экономическая доступность продовольствия для населения в соответствии с установленными минимальными нормами потребления продуктов питания;</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экономическая безопасность</w:t>
      </w:r>
      <w:r>
        <w:rPr>
          <w:rFonts w:ascii="Arial" w:cs="Arial" w:eastAsia="Arial" w:hAnsi="Arial"/>
          <w:sz w:val="24"/>
          <w:szCs w:val="24"/>
        </w:rPr>
        <w:t xml:space="preserve"> - это состояние защищенности национальной экономики от внешних и внутренних угроз, долгосрочное состояние устойчивости экономической системы, а также способность к экономическому развитию, которое обеспечивает возможность удовлетворения и расширения потребностей субъектов экономической деятельности, способность поддержать достойный уровень жизни;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средства поручительства</w:t>
      </w:r>
      <w:r>
        <w:rPr>
          <w:rFonts w:ascii="Arial" w:cs="Arial" w:eastAsia="Arial" w:hAnsi="Arial"/>
          <w:sz w:val="24"/>
          <w:szCs w:val="24"/>
        </w:rPr>
        <w:t xml:space="preserve"> - совокупность денежных средств, сформированных за счет средств республиканского бюджета, направленных на увеличение уставного капитала поручителя для исполнения обязательств по поручительству.</w:t>
      </w:r>
    </w:p>
    <w:p>
      <w:pPr>
        <w:spacing w:after="60"/>
        <w:ind w:firstLine="567"/>
        <w:jc w:val="both"/>
      </w:pPr>
      <w:r>
        <w:rPr>
          <w:rFonts w:ascii="Arial" w:cs="Arial" w:eastAsia="Arial" w:hAnsi="Arial"/>
          <w:sz w:val="24"/>
          <w:szCs w:val="24"/>
        </w:rPr>
        <w:t xml:space="preserve">Средства поручительства могут быть использованы для обеспечения текущей деятельности поручителя, включая административные, организационные и иные операционные расходы, с обязательным последующим восполнением израсходованных средств;</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поручитель</w:t>
      </w:r>
      <w:r>
        <w:rPr>
          <w:rFonts w:ascii="Arial" w:cs="Arial" w:eastAsia="Arial" w:hAnsi="Arial"/>
          <w:sz w:val="24"/>
          <w:szCs w:val="24"/>
        </w:rPr>
        <w:t xml:space="preserve"> - лицо, уполномоченное Кабинетом Министров на предоставление поручительства;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кредитор</w:t>
      </w:r>
      <w:r>
        <w:rPr>
          <w:rFonts w:ascii="Arial" w:cs="Arial" w:eastAsia="Arial" w:hAnsi="Arial"/>
          <w:sz w:val="24"/>
          <w:szCs w:val="24"/>
        </w:rPr>
        <w:t xml:space="preserve"> - организация, которая предоставляет кредит, лизинг субъекту и имеет право требовать возврата предоставленных денег или имущества в оговоренные сроки;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субъект национальной экономики</w:t>
      </w:r>
      <w:r>
        <w:rPr>
          <w:rFonts w:ascii="Arial" w:cs="Arial" w:eastAsia="Arial" w:hAnsi="Arial"/>
          <w:sz w:val="24"/>
          <w:szCs w:val="24"/>
        </w:rPr>
        <w:t xml:space="preserve"> - юридическое лицо, зарегистрированное в установленном законодательством порядке на территории Кыргызской Республики и осуществляющее производственную, коммерческую, финансовую либо иную хозяйственную деятельность на территории Кыргызской Республики, соответствующее критериям, установленным настоящим Порядком.</w:t>
      </w:r>
    </w:p>
    <w:p>
      <w:pPr>
        <w:spacing w:after="200" w:before="200"/>
        <w:jc w:val="center"/>
      </w:pPr>
      <w:r>
        <w:rPr>
          <w:rFonts w:ascii="Arial" w:cs="Arial" w:eastAsia="Arial" w:hAnsi="Arial"/>
          <w:b/>
          <w:bCs/>
          <w:sz w:val="32"/>
          <w:szCs w:val="32"/>
        </w:rPr>
        <w:t xml:space="preserve">Глава 2. Решение о предоставлении поручительства</w:t>
      </w:r>
    </w:p>
    <w:p>
      <w:pPr>
        <w:spacing w:after="60"/>
        <w:ind w:firstLine="567"/>
        <w:jc w:val="both"/>
      </w:pPr>
      <w:r>
        <w:rPr>
          <w:rFonts w:ascii="Arial" w:cs="Arial" w:eastAsia="Arial" w:hAnsi="Arial"/>
          <w:sz w:val="24"/>
          <w:szCs w:val="24"/>
        </w:rPr>
        <w:t xml:space="preserve">7. Решение о предоставлении поручительства субъектам принимается Кабинетом Министров по согласованию с профильным комитетом Жогорку Кенеша Кыргызской Республики.</w:t>
      </w:r>
    </w:p>
    <w:p>
      <w:pPr>
        <w:spacing w:after="60"/>
        <w:ind w:firstLine="567"/>
        <w:jc w:val="both"/>
      </w:pPr>
      <w:r>
        <w:rPr>
          <w:rFonts w:ascii="Arial" w:cs="Arial" w:eastAsia="Arial" w:hAnsi="Arial"/>
          <w:sz w:val="24"/>
          <w:szCs w:val="24"/>
        </w:rPr>
        <w:t xml:space="preserve">8. Инициатором проекта решения Кабинета Министров о предоставлении поручительства выступает уполномоченный государственный орган по экономическому прогнозированию.</w:t>
      </w:r>
    </w:p>
    <w:p>
      <w:pPr>
        <w:spacing w:after="60"/>
        <w:ind w:firstLine="567"/>
        <w:jc w:val="both"/>
      </w:pPr>
      <w:r>
        <w:rPr>
          <w:rFonts w:ascii="Arial" w:cs="Arial" w:eastAsia="Arial" w:hAnsi="Arial"/>
          <w:sz w:val="24"/>
          <w:szCs w:val="24"/>
        </w:rPr>
        <w:t xml:space="preserve">9. Для инициирования решения Кабинета Министров о предоставлении поручительства субъекту в уполномоченный государственный орган по экономическому прогнозированию представляются следующие документы:</w:t>
      </w:r>
    </w:p>
    <w:p>
      <w:pPr>
        <w:spacing w:after="60"/>
        <w:ind w:firstLine="567"/>
        <w:jc w:val="both"/>
      </w:pPr>
      <w:r>
        <w:rPr>
          <w:rFonts w:ascii="Arial" w:cs="Arial" w:eastAsia="Arial" w:hAnsi="Arial"/>
          <w:sz w:val="24"/>
          <w:szCs w:val="24"/>
        </w:rPr>
        <w:t xml:space="preserve">1) заявление о предоставлении поручительства;</w:t>
      </w:r>
    </w:p>
    <w:p>
      <w:pPr>
        <w:spacing w:after="60"/>
        <w:ind w:firstLine="567"/>
        <w:jc w:val="both"/>
      </w:pPr>
      <w:r>
        <w:rPr>
          <w:rFonts w:ascii="Arial" w:cs="Arial" w:eastAsia="Arial" w:hAnsi="Arial"/>
          <w:sz w:val="24"/>
          <w:szCs w:val="24"/>
        </w:rPr>
        <w:t xml:space="preserve">2) копии регистрационных и учредительных документов (устав, свидетельство о регистрации, патент, учредительный договор), заверенные печатью;</w:t>
      </w:r>
    </w:p>
    <w:p>
      <w:pPr>
        <w:spacing w:after="60"/>
        <w:ind w:firstLine="567"/>
        <w:jc w:val="both"/>
      </w:pPr>
      <w:r>
        <w:rPr>
          <w:rFonts w:ascii="Arial" w:cs="Arial" w:eastAsia="Arial" w:hAnsi="Arial"/>
          <w:sz w:val="24"/>
          <w:szCs w:val="24"/>
        </w:rPr>
        <w:t xml:space="preserve">3) копии паспорта руководителя и решения о назначении на должность;</w:t>
      </w:r>
    </w:p>
    <w:p>
      <w:pPr>
        <w:spacing w:after="60"/>
        <w:ind w:firstLine="567"/>
        <w:jc w:val="both"/>
      </w:pPr>
      <w:r>
        <w:rPr>
          <w:rFonts w:ascii="Arial" w:cs="Arial" w:eastAsia="Arial" w:hAnsi="Arial"/>
          <w:sz w:val="24"/>
          <w:szCs w:val="24"/>
        </w:rPr>
        <w:t xml:space="preserve">4) финансовые отчеты за последние три года. В случае если субъект осуществляет деятельность менее трех лет, предоставляется финансовая отчетность за весь период деятельности;</w:t>
      </w:r>
    </w:p>
    <w:p>
      <w:pPr>
        <w:spacing w:after="60"/>
        <w:ind w:firstLine="567"/>
        <w:jc w:val="both"/>
      </w:pPr>
      <w:r>
        <w:rPr>
          <w:rFonts w:ascii="Arial" w:cs="Arial" w:eastAsia="Arial" w:hAnsi="Arial"/>
          <w:sz w:val="24"/>
          <w:szCs w:val="24"/>
        </w:rPr>
        <w:t xml:space="preserve">5) проект кредитного договора и/или решение кредитного комитета, отражающие условия предоставления кредита;</w:t>
      </w:r>
    </w:p>
    <w:p>
      <w:pPr>
        <w:spacing w:after="60"/>
        <w:ind w:firstLine="567"/>
        <w:jc w:val="both"/>
      </w:pPr>
      <w:r>
        <w:rPr>
          <w:rFonts w:ascii="Arial" w:cs="Arial" w:eastAsia="Arial" w:hAnsi="Arial"/>
          <w:sz w:val="24"/>
          <w:szCs w:val="24"/>
        </w:rPr>
        <w:t xml:space="preserve">6) способы минимизации рисков поручителя, включающие один или несколько из следующих механизмов обеспечения исполнения обязательств: залог, банковская гарантия, поручительство учредителей и третьих лиц, иные обеспечения,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7) решение (согласие) учредителей на заключение договора поручительства и договора о залоге с указанием лица, уполномоченного на их подписание;</w:t>
      </w:r>
    </w:p>
    <w:p>
      <w:pPr>
        <w:spacing w:after="60"/>
        <w:ind w:firstLine="567"/>
        <w:jc w:val="both"/>
      </w:pPr>
      <w:r>
        <w:rPr>
          <w:rFonts w:ascii="Arial" w:cs="Arial" w:eastAsia="Arial" w:hAnsi="Arial"/>
          <w:sz w:val="24"/>
          <w:szCs w:val="24"/>
        </w:rPr>
        <w:t xml:space="preserve">8) справка об отсутствии задолженности по налогам и страховым взносам.</w:t>
      </w:r>
    </w:p>
    <w:p>
      <w:pPr>
        <w:spacing w:after="60"/>
        <w:ind w:firstLine="567"/>
        <w:jc w:val="both"/>
      </w:pPr>
      <w:r>
        <w:rPr>
          <w:rFonts w:ascii="Arial" w:cs="Arial" w:eastAsia="Arial" w:hAnsi="Arial"/>
          <w:sz w:val="24"/>
          <w:szCs w:val="24"/>
        </w:rPr>
        <w:t xml:space="preserve">Отдельные части подпунктов 2, 3 и 8 настоящего пункта не применяются, в случае если документы получены через систему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10. При рассмотрении заявления на предоставление поручительства для реализации инфраструктурных и промышленных проектов дополнительно предоставляются один или несколько из следующих документов:</w:t>
      </w:r>
    </w:p>
    <w:p>
      <w:pPr>
        <w:spacing w:after="60"/>
        <w:ind w:firstLine="567"/>
        <w:jc w:val="both"/>
      </w:pPr>
      <w:r>
        <w:rPr>
          <w:rFonts w:ascii="Arial" w:cs="Arial" w:eastAsia="Arial" w:hAnsi="Arial"/>
          <w:sz w:val="24"/>
          <w:szCs w:val="24"/>
        </w:rPr>
        <w:t xml:space="preserve">1) утвержденное технико-экономическое обоснование;</w:t>
      </w:r>
    </w:p>
    <w:p>
      <w:pPr>
        <w:spacing w:after="60"/>
        <w:ind w:firstLine="567"/>
        <w:jc w:val="both"/>
      </w:pPr>
      <w:r>
        <w:rPr>
          <w:rFonts w:ascii="Arial" w:cs="Arial" w:eastAsia="Arial" w:hAnsi="Arial"/>
          <w:sz w:val="24"/>
          <w:szCs w:val="24"/>
        </w:rPr>
        <w:t xml:space="preserve">2) утвержденная проектно-сметная документация;</w:t>
      </w:r>
    </w:p>
    <w:p>
      <w:pPr>
        <w:spacing w:after="60"/>
        <w:ind w:firstLine="567"/>
        <w:jc w:val="both"/>
      </w:pPr>
      <w:r>
        <w:rPr>
          <w:rFonts w:ascii="Arial" w:cs="Arial" w:eastAsia="Arial" w:hAnsi="Arial"/>
          <w:sz w:val="24"/>
          <w:szCs w:val="24"/>
        </w:rPr>
        <w:t xml:space="preserve">3) бизнес-план;</w:t>
      </w:r>
    </w:p>
    <w:p>
      <w:pPr>
        <w:spacing w:after="60"/>
        <w:ind w:firstLine="567"/>
        <w:jc w:val="both"/>
      </w:pPr>
      <w:r>
        <w:rPr>
          <w:rFonts w:ascii="Arial" w:cs="Arial" w:eastAsia="Arial" w:hAnsi="Arial"/>
          <w:sz w:val="24"/>
          <w:szCs w:val="24"/>
        </w:rPr>
        <w:t xml:space="preserve">4) аналогичные прайс-листы на приобретаемое оборудование, сооружение и т.д.;</w:t>
      </w:r>
    </w:p>
    <w:p>
      <w:pPr>
        <w:spacing w:after="60"/>
        <w:ind w:firstLine="567"/>
        <w:jc w:val="both"/>
      </w:pPr>
      <w:r>
        <w:rPr>
          <w:rFonts w:ascii="Arial" w:cs="Arial" w:eastAsia="Arial" w:hAnsi="Arial"/>
          <w:sz w:val="24"/>
          <w:szCs w:val="24"/>
        </w:rPr>
        <w:t xml:space="preserve">5) контракты, договоры и соглашения;</w:t>
      </w:r>
    </w:p>
    <w:p>
      <w:pPr>
        <w:spacing w:after="60"/>
        <w:ind w:firstLine="567"/>
        <w:jc w:val="both"/>
      </w:pPr>
      <w:r>
        <w:rPr>
          <w:rFonts w:ascii="Arial" w:cs="Arial" w:eastAsia="Arial" w:hAnsi="Arial"/>
          <w:sz w:val="24"/>
          <w:szCs w:val="24"/>
        </w:rPr>
        <w:t xml:space="preserve">6) учредительные документы и финансовая отчетность за последние три года организации и/или аффилированных организаций с учредителями субъекта, претендующего на получение поручительства;</w:t>
      </w:r>
    </w:p>
    <w:p>
      <w:pPr>
        <w:spacing w:after="60"/>
        <w:ind w:firstLine="567"/>
        <w:jc w:val="both"/>
      </w:pPr>
      <w:r>
        <w:rPr>
          <w:rFonts w:ascii="Arial" w:cs="Arial" w:eastAsia="Arial" w:hAnsi="Arial"/>
          <w:sz w:val="24"/>
          <w:szCs w:val="24"/>
        </w:rPr>
        <w:t xml:space="preserve">7) справки коммерческих банков, обслуживающих счета субъекта, об оборотах по расчетным счетам за последние шесть месяцев;</w:t>
      </w:r>
    </w:p>
    <w:p>
      <w:pPr>
        <w:spacing w:after="60"/>
        <w:ind w:firstLine="567"/>
        <w:jc w:val="both"/>
      </w:pPr>
      <w:r>
        <w:rPr>
          <w:rFonts w:ascii="Arial" w:cs="Arial" w:eastAsia="Arial" w:hAnsi="Arial"/>
          <w:sz w:val="24"/>
          <w:szCs w:val="24"/>
        </w:rPr>
        <w:t xml:space="preserve">8) справка об отсутствии/наличии задолженности перед финансово-кредитными организациями, подтвержденная соответствующим кредитным бюро.</w:t>
      </w:r>
    </w:p>
    <w:p>
      <w:pPr>
        <w:spacing w:after="60"/>
        <w:ind w:firstLine="567"/>
        <w:jc w:val="both"/>
      </w:pPr>
      <w:r>
        <w:rPr>
          <w:rFonts w:ascii="Arial" w:cs="Arial" w:eastAsia="Arial" w:hAnsi="Arial"/>
          <w:sz w:val="24"/>
          <w:szCs w:val="24"/>
        </w:rPr>
        <w:t xml:space="preserve">11. До инициирования проекта решения Кабинета Министров о предоставлении поручительства уполномоченному государственному органу по экономическому прогнозированию необходимо:</w:t>
      </w:r>
    </w:p>
    <w:p>
      <w:pPr>
        <w:spacing w:after="60"/>
        <w:ind w:firstLine="567"/>
        <w:jc w:val="both"/>
      </w:pPr>
      <w:r>
        <w:rPr>
          <w:rFonts w:ascii="Arial" w:cs="Arial" w:eastAsia="Arial" w:hAnsi="Arial"/>
          <w:sz w:val="24"/>
          <w:szCs w:val="24"/>
        </w:rPr>
        <w:t xml:space="preserve">1) провести проверку полноты и/или правильности представленных документов;</w:t>
      </w:r>
    </w:p>
    <w:p>
      <w:pPr>
        <w:spacing w:after="60"/>
        <w:ind w:firstLine="567"/>
        <w:jc w:val="both"/>
      </w:pPr>
      <w:r>
        <w:rPr>
          <w:rFonts w:ascii="Arial" w:cs="Arial" w:eastAsia="Arial" w:hAnsi="Arial"/>
          <w:sz w:val="24"/>
          <w:szCs w:val="24"/>
        </w:rPr>
        <w:t xml:space="preserve">2) оценить стратегическое значение субъекта для экономической деятельности, национальной и продовольственной безопасности Кыргызской Республики;</w:t>
      </w:r>
    </w:p>
    <w:p>
      <w:pPr>
        <w:spacing w:after="60"/>
        <w:ind w:firstLine="567"/>
        <w:jc w:val="both"/>
      </w:pPr>
      <w:r>
        <w:rPr>
          <w:rFonts w:ascii="Arial" w:cs="Arial" w:eastAsia="Arial" w:hAnsi="Arial"/>
          <w:sz w:val="24"/>
          <w:szCs w:val="24"/>
        </w:rPr>
        <w:t xml:space="preserve">3) провести анализ эффективности проекта согласно бизнес-плану, ТЭО и другим документам.</w:t>
      </w:r>
    </w:p>
    <w:p>
      <w:pPr>
        <w:spacing w:after="60"/>
        <w:ind w:firstLine="567"/>
        <w:jc w:val="both"/>
      </w:pPr>
      <w:r>
        <w:rPr>
          <w:rFonts w:ascii="Arial" w:cs="Arial" w:eastAsia="Arial" w:hAnsi="Arial"/>
          <w:sz w:val="24"/>
          <w:szCs w:val="24"/>
        </w:rPr>
        <w:t xml:space="preserve">12. По итогам проведенного анализа уполномоченный государственный орган по экономическому прогнозированию в установленном порядке принимает решение об отказе или инициировании проекта решения Кабинета Министров о предоставлении поручительства.</w:t>
      </w:r>
    </w:p>
    <w:p>
      <w:pPr>
        <w:spacing w:after="60"/>
        <w:ind w:firstLine="567"/>
        <w:jc w:val="both"/>
      </w:pPr>
      <w:r>
        <w:rPr>
          <w:rFonts w:ascii="Arial" w:cs="Arial" w:eastAsia="Arial" w:hAnsi="Arial"/>
          <w:sz w:val="24"/>
          <w:szCs w:val="24"/>
        </w:rPr>
        <w:t xml:space="preserve">13. Уполномоченный государственный орган по экономическому прогнозированию принимает решение об отказе в следующих случаях:</w:t>
      </w:r>
    </w:p>
    <w:p>
      <w:pPr>
        <w:spacing w:after="60"/>
        <w:ind w:firstLine="567"/>
        <w:jc w:val="both"/>
      </w:pPr>
      <w:r>
        <w:rPr>
          <w:rFonts w:ascii="Arial" w:cs="Arial" w:eastAsia="Arial" w:hAnsi="Arial"/>
          <w:sz w:val="24"/>
          <w:szCs w:val="24"/>
        </w:rPr>
        <w:t xml:space="preserve">1) субъекту ранее было предоставлено поручительство, по которому у него возникли нарушения финансовой дисциплины, что подтверждается извещением или уведомлением кредитора о неисполнении или ненадлежащем исполнении обязательств субъектом;</w:t>
      </w:r>
    </w:p>
    <w:p>
      <w:pPr>
        <w:spacing w:after="60"/>
        <w:ind w:firstLine="567"/>
        <w:jc w:val="both"/>
      </w:pPr>
      <w:r>
        <w:rPr>
          <w:rFonts w:ascii="Arial" w:cs="Arial" w:eastAsia="Arial" w:hAnsi="Arial"/>
          <w:sz w:val="24"/>
          <w:szCs w:val="24"/>
        </w:rPr>
        <w:t xml:space="preserve">2) если предоставляемые субъекту кредитные средства были получены кредитором в виде бюджетного кредита;</w:t>
      </w:r>
    </w:p>
    <w:p>
      <w:pPr>
        <w:spacing w:after="60"/>
        <w:ind w:firstLine="567"/>
        <w:jc w:val="both"/>
      </w:pPr>
      <w:r>
        <w:rPr>
          <w:rFonts w:ascii="Arial" w:cs="Arial" w:eastAsia="Arial" w:hAnsi="Arial"/>
          <w:sz w:val="24"/>
          <w:szCs w:val="24"/>
        </w:rPr>
        <w:t xml:space="preserve">3) непредставление требуемых документов согласно пунктам 9 и 10 настоящего Порядка.</w:t>
      </w:r>
    </w:p>
    <w:p>
      <w:pPr>
        <w:spacing w:after="60"/>
        <w:ind w:firstLine="567"/>
        <w:jc w:val="both"/>
      </w:pPr>
      <w:r>
        <w:rPr>
          <w:rFonts w:ascii="Arial" w:cs="Arial" w:eastAsia="Arial" w:hAnsi="Arial"/>
          <w:sz w:val="24"/>
          <w:szCs w:val="24"/>
        </w:rPr>
        <w:t xml:space="preserve">14. Проекты решений Кабинета Министров о предоставлении поручительства должны содержать:</w:t>
      </w:r>
    </w:p>
    <w:p>
      <w:pPr>
        <w:spacing w:after="60"/>
        <w:ind w:firstLine="567"/>
        <w:jc w:val="both"/>
      </w:pPr>
      <w:r>
        <w:rPr>
          <w:rFonts w:ascii="Arial" w:cs="Arial" w:eastAsia="Arial" w:hAnsi="Arial"/>
          <w:sz w:val="24"/>
          <w:szCs w:val="24"/>
        </w:rPr>
        <w:t xml:space="preserve">1) наименование субъекта, которому предоставляется поручительство;</w:t>
      </w:r>
    </w:p>
    <w:p>
      <w:pPr>
        <w:spacing w:after="60"/>
        <w:ind w:firstLine="567"/>
        <w:jc w:val="both"/>
      </w:pPr>
      <w:r>
        <w:rPr>
          <w:rFonts w:ascii="Arial" w:cs="Arial" w:eastAsia="Arial" w:hAnsi="Arial"/>
          <w:sz w:val="24"/>
          <w:szCs w:val="24"/>
        </w:rPr>
        <w:t xml:space="preserve">2) описание и цель обязательства (кредитный, лизинговый договор или банковская гарантия);</w:t>
      </w:r>
    </w:p>
    <w:p>
      <w:pPr>
        <w:spacing w:after="60"/>
        <w:ind w:firstLine="567"/>
        <w:jc w:val="both"/>
      </w:pPr>
      <w:r>
        <w:rPr>
          <w:rFonts w:ascii="Arial" w:cs="Arial" w:eastAsia="Arial" w:hAnsi="Arial"/>
          <w:sz w:val="24"/>
          <w:szCs w:val="24"/>
        </w:rPr>
        <w:t xml:space="preserve">3) сумму и валюту поручительства;</w:t>
      </w:r>
    </w:p>
    <w:p>
      <w:pPr>
        <w:spacing w:after="60"/>
        <w:ind w:firstLine="567"/>
        <w:jc w:val="both"/>
      </w:pPr>
      <w:r>
        <w:rPr>
          <w:rFonts w:ascii="Arial" w:cs="Arial" w:eastAsia="Arial" w:hAnsi="Arial"/>
          <w:sz w:val="24"/>
          <w:szCs w:val="24"/>
        </w:rPr>
        <w:t xml:space="preserve">4) право безакцептного списания сумм задолженности и способ обеспечения исполнения обязательств поручителя.</w:t>
      </w:r>
    </w:p>
    <w:p>
      <w:pPr>
        <w:spacing w:after="200" w:before="200"/>
        <w:jc w:val="center"/>
      </w:pPr>
      <w:r>
        <w:rPr>
          <w:rFonts w:ascii="Arial" w:cs="Arial" w:eastAsia="Arial" w:hAnsi="Arial"/>
          <w:b/>
          <w:bCs/>
          <w:sz w:val="32"/>
          <w:szCs w:val="32"/>
        </w:rPr>
        <w:t xml:space="preserve">Глава 3. Условия предоставления поручительства</w:t>
      </w:r>
    </w:p>
    <w:p>
      <w:pPr>
        <w:spacing w:after="60"/>
        <w:ind w:firstLine="567"/>
        <w:jc w:val="both"/>
      </w:pPr>
      <w:r>
        <w:rPr>
          <w:rFonts w:ascii="Arial" w:cs="Arial" w:eastAsia="Arial" w:hAnsi="Arial"/>
          <w:sz w:val="24"/>
          <w:szCs w:val="24"/>
        </w:rPr>
        <w:t xml:space="preserve">15. Субъект, претендующий на получение поручительства, должен соответствовать следующим критериям:</w:t>
      </w:r>
    </w:p>
    <w:p>
      <w:pPr>
        <w:spacing w:after="60"/>
        <w:ind w:firstLine="567"/>
        <w:jc w:val="both"/>
      </w:pPr>
      <w:r>
        <w:rPr>
          <w:rFonts w:ascii="Arial" w:cs="Arial" w:eastAsia="Arial" w:hAnsi="Arial"/>
          <w:sz w:val="24"/>
          <w:szCs w:val="24"/>
        </w:rPr>
        <w:t xml:space="preserve">1) резидент Кыргызской Республики;</w:t>
      </w:r>
    </w:p>
    <w:p>
      <w:pPr>
        <w:spacing w:after="60"/>
        <w:ind w:firstLine="567"/>
        <w:jc w:val="both"/>
      </w:pPr>
      <w:r>
        <w:rPr>
          <w:rFonts w:ascii="Arial" w:cs="Arial" w:eastAsia="Arial" w:hAnsi="Arial"/>
          <w:sz w:val="24"/>
          <w:szCs w:val="24"/>
        </w:rPr>
        <w:t xml:space="preserve">2) вклад субъекта должен составлять не менее 30 процентов от общей стоимости проекта, тем самым демонстрировать надежность и устойчивость в осуществлении проекта и/или деятельности;</w:t>
      </w:r>
    </w:p>
    <w:p>
      <w:pPr>
        <w:spacing w:after="60"/>
        <w:ind w:firstLine="567"/>
        <w:jc w:val="both"/>
      </w:pPr>
      <w:r>
        <w:rPr>
          <w:rFonts w:ascii="Arial" w:cs="Arial" w:eastAsia="Arial" w:hAnsi="Arial"/>
          <w:sz w:val="24"/>
          <w:szCs w:val="24"/>
        </w:rPr>
        <w:t xml:space="preserve">3) стратегическое значение для экономики страны, продовольственной и/или национальной безопасности;</w:t>
      </w:r>
    </w:p>
    <w:p>
      <w:pPr>
        <w:spacing w:after="60"/>
        <w:ind w:firstLine="567"/>
        <w:jc w:val="both"/>
      </w:pPr>
      <w:r>
        <w:rPr>
          <w:rFonts w:ascii="Arial" w:cs="Arial" w:eastAsia="Arial" w:hAnsi="Arial"/>
          <w:sz w:val="24"/>
          <w:szCs w:val="24"/>
        </w:rPr>
        <w:t xml:space="preserve">4) отсутствие просроченной задолженности по уплате налогов и других обязательных платежей в бюджет, а также по бюджетным кредитам.</w:t>
      </w:r>
    </w:p>
    <w:p>
      <w:pPr>
        <w:spacing w:after="60"/>
        <w:ind w:firstLine="567"/>
        <w:jc w:val="both"/>
      </w:pPr>
      <w:r>
        <w:rPr>
          <w:rFonts w:ascii="Arial" w:cs="Arial" w:eastAsia="Arial" w:hAnsi="Arial"/>
          <w:sz w:val="24"/>
          <w:szCs w:val="24"/>
        </w:rPr>
        <w:t xml:space="preserve">Подпункты 2 и 4 настоящего пункта не применяются в случаях необходимости обеспечения экономической, продовольственной и/или национальной безопасности страны в отношении государственных, муниципальных органов, а также субъектов, где 50 и более процентов доли участия в уставном капитале принадлежат государству.</w:t>
      </w:r>
    </w:p>
    <w:p>
      <w:pPr>
        <w:spacing w:after="60"/>
        <w:ind w:firstLine="567"/>
        <w:jc w:val="both"/>
      </w:pPr>
      <w:r>
        <w:rPr>
          <w:rFonts w:ascii="Arial" w:cs="Arial" w:eastAsia="Arial" w:hAnsi="Arial"/>
          <w:sz w:val="24"/>
          <w:szCs w:val="24"/>
        </w:rPr>
        <w:t xml:space="preserve">Требования, установленные подпунктом 2 настоящего пункта, могут не применяться к субъектам, независимо от их организационно-правовых форм и форм собственности, при реализации проектов, включенных Комиссией при Кабинете Министров Кыргызской Республики по отбору национальных инвестиционных проектов и проектов государственного значения в перечень национальных инвестиционных проектов.</w:t>
      </w:r>
    </w:p>
    <w:p>
      <w:pPr>
        <w:spacing w:after="60"/>
        <w:ind w:firstLine="567"/>
        <w:jc w:val="both"/>
      </w:pPr>
      <w:r>
        <w:rPr>
          <w:rFonts w:ascii="Arial" w:cs="Arial" w:eastAsia="Arial" w:hAnsi="Arial"/>
          <w:sz w:val="24"/>
          <w:szCs w:val="24"/>
        </w:rPr>
        <w:t xml:space="preserve">16. Кредиторы несут ответственность за проведение финансового анализа субъекта. В случае одобрения и выдачи кредита кредитор обязан в период действия кредитного договора/соглашения ежегодно проводить анализ платежеспособности субъекта на возможность исполнения принятых обязательств.</w:t>
      </w:r>
    </w:p>
    <w:p>
      <w:pPr>
        <w:spacing w:after="60"/>
        <w:ind w:firstLine="567"/>
        <w:jc w:val="both"/>
      </w:pPr>
      <w:r>
        <w:rPr>
          <w:rFonts w:ascii="Arial" w:cs="Arial" w:eastAsia="Arial" w:hAnsi="Arial"/>
          <w:sz w:val="24"/>
          <w:szCs w:val="24"/>
        </w:rPr>
        <w:t xml:space="preserve">17. Кредитор или субъект (по взаимному согласию) вправе привлечь независимого аудитора для сопровождения проекта.</w:t>
      </w:r>
    </w:p>
    <w:p>
      <w:pPr>
        <w:spacing w:after="60"/>
        <w:ind w:firstLine="567"/>
        <w:jc w:val="both"/>
      </w:pPr>
      <w:r>
        <w:rPr>
          <w:rFonts w:ascii="Arial" w:cs="Arial" w:eastAsia="Arial" w:hAnsi="Arial"/>
          <w:sz w:val="24"/>
          <w:szCs w:val="24"/>
        </w:rPr>
        <w:t xml:space="preserve">18. Поручительство предоставляется после получения поручителем одобренного заключения кредитора о выдаче кредита, лизинга и/или банковской гарантии по итогам анализа платежеспособности субъекта и заверенной копии подписанного договора.</w:t>
      </w:r>
    </w:p>
    <w:p>
      <w:pPr>
        <w:spacing w:after="60"/>
        <w:ind w:firstLine="567"/>
        <w:jc w:val="both"/>
      </w:pPr>
      <w:r>
        <w:rPr>
          <w:rFonts w:ascii="Arial" w:cs="Arial" w:eastAsia="Arial" w:hAnsi="Arial"/>
          <w:sz w:val="24"/>
          <w:szCs w:val="24"/>
        </w:rPr>
        <w:t xml:space="preserve">19. Поручительством может быть предусмотрена как солидарная, так и субсидиарная ответственность поручителя.</w:t>
      </w:r>
    </w:p>
    <w:p>
      <w:pPr>
        <w:spacing w:after="60"/>
        <w:ind w:firstLine="567"/>
        <w:jc w:val="both"/>
      </w:pPr>
      <w:r>
        <w:rPr>
          <w:rFonts w:ascii="Arial" w:cs="Arial" w:eastAsia="Arial" w:hAnsi="Arial"/>
          <w:sz w:val="24"/>
          <w:szCs w:val="24"/>
        </w:rPr>
        <w:t xml:space="preserve">Поручитель несет солидарную ответственность перед кредитором, если он является залогодержателем первой очереди в отношении имущества субъекта, полностью покрывающего сумму обязательств поручителя. В иных случаях ответственность поручителя является субсидиарной.</w:t>
      </w:r>
    </w:p>
    <w:p>
      <w:pPr>
        <w:spacing w:after="60"/>
        <w:ind w:firstLine="567"/>
        <w:jc w:val="both"/>
      </w:pPr>
      <w:r>
        <w:rPr>
          <w:rFonts w:ascii="Arial" w:cs="Arial" w:eastAsia="Arial" w:hAnsi="Arial"/>
          <w:sz w:val="24"/>
          <w:szCs w:val="24"/>
        </w:rPr>
        <w:t xml:space="preserve">20. За предоставление поручительства до заключения договора поручительства поручителем взимается разовая комиссия в следующих размерах:</w:t>
      </w:r>
    </w:p>
    <w:p>
      <w:pPr>
        <w:spacing w:after="60"/>
        <w:ind w:firstLine="567"/>
        <w:jc w:val="both"/>
      </w:pPr>
      <w:r>
        <w:rPr>
          <w:rFonts w:ascii="Arial" w:cs="Arial" w:eastAsia="Arial" w:hAnsi="Arial"/>
          <w:sz w:val="24"/>
          <w:szCs w:val="24"/>
        </w:rPr>
        <w:t xml:space="preserve">1) один процент от суммы поручительства, если размер обеспечиваемого поручительством обязательства составляет более одного миллиарда сомов;</w:t>
      </w:r>
    </w:p>
    <w:p>
      <w:pPr>
        <w:spacing w:after="60"/>
        <w:ind w:firstLine="567"/>
        <w:jc w:val="both"/>
      </w:pPr>
      <w:r>
        <w:rPr>
          <w:rFonts w:ascii="Arial" w:cs="Arial" w:eastAsia="Arial" w:hAnsi="Arial"/>
          <w:sz w:val="24"/>
          <w:szCs w:val="24"/>
        </w:rPr>
        <w:t xml:space="preserve">2) два процента от суммы поручительства, если размер обеспечиваемого поручительством обязательства составляет до одного миллиарда сомов.</w:t>
      </w:r>
    </w:p>
    <w:p>
      <w:pPr>
        <w:spacing w:after="60"/>
        <w:ind w:firstLine="567"/>
        <w:jc w:val="both"/>
      </w:pPr>
      <w:r>
        <w:rPr>
          <w:rFonts w:ascii="Arial" w:cs="Arial" w:eastAsia="Arial" w:hAnsi="Arial"/>
          <w:sz w:val="24"/>
          <w:szCs w:val="24"/>
        </w:rPr>
        <w:t xml:space="preserve">Средства разовой комиссии перечисляются на расчетный счет поручителя.</w:t>
      </w:r>
    </w:p>
    <w:p>
      <w:pPr>
        <w:spacing w:after="60"/>
        <w:ind w:firstLine="567"/>
        <w:jc w:val="both"/>
      </w:pPr>
      <w:r>
        <w:rPr>
          <w:rFonts w:ascii="Arial" w:cs="Arial" w:eastAsia="Arial" w:hAnsi="Arial"/>
          <w:sz w:val="24"/>
          <w:szCs w:val="24"/>
        </w:rPr>
        <w:t xml:space="preserve">21. Субъекту, имеющему стратегическое значение для экономической, продовольственной и/или национальной безопасности страны, где 50 и более процентов доли участия в уставном капитале принадлежат государству, может быть предоставлена отсрочка в части оплаты разовой комиссии на срок, не превышающий половину срока договора, заключенного между кредитором и субъектом, но не более чем 36 месяцев.</w:t>
      </w:r>
    </w:p>
    <w:p>
      <w:pPr>
        <w:spacing w:after="60"/>
        <w:ind w:firstLine="567"/>
        <w:jc w:val="both"/>
      </w:pPr>
      <w:r>
        <w:rPr>
          <w:rFonts w:ascii="Arial" w:cs="Arial" w:eastAsia="Arial" w:hAnsi="Arial"/>
          <w:sz w:val="24"/>
          <w:szCs w:val="24"/>
        </w:rPr>
        <w:t xml:space="preserve">22. Если кредитные средства были освоены субъектом не полностью, то сумма поручительства уменьшается в соответствии с дополнительным соглашением о внесении изменений (дополнений) в кредитный договор/соглашение путем заключения дополнительного соглашения к договору поручительства, в данном случае выплаченная разовая комиссия возврату не подлежит (полностью или частично).</w:t>
      </w:r>
    </w:p>
    <w:p>
      <w:pPr>
        <w:spacing w:after="60"/>
        <w:ind w:firstLine="567"/>
        <w:jc w:val="both"/>
      </w:pPr>
      <w:r>
        <w:rPr>
          <w:rFonts w:ascii="Arial" w:cs="Arial" w:eastAsia="Arial" w:hAnsi="Arial"/>
          <w:sz w:val="24"/>
          <w:szCs w:val="24"/>
        </w:rPr>
        <w:t xml:space="preserve">23. За нецелевое использование кредитных, лизинговых ресурсов, предоставление недостоверных сведений и документов со стороны субъекта, поручитель вправе взыскать неустойку в размере пяти процентов от суммы поручительства в соответствии с условиями договора поручительства.</w:t>
      </w:r>
    </w:p>
    <w:p>
      <w:pPr>
        <w:spacing w:after="60"/>
        <w:ind w:firstLine="567"/>
        <w:jc w:val="both"/>
      </w:pPr>
      <w:r>
        <w:rPr>
          <w:rFonts w:ascii="Arial" w:cs="Arial" w:eastAsia="Arial" w:hAnsi="Arial"/>
          <w:sz w:val="24"/>
          <w:szCs w:val="24"/>
        </w:rPr>
        <w:t xml:space="preserve">Сумма неустойки перечисляется на расчетный счет поручителя.</w:t>
      </w:r>
    </w:p>
    <w:p>
      <w:pPr>
        <w:spacing w:after="60"/>
        <w:ind w:firstLine="567"/>
        <w:jc w:val="both"/>
      </w:pPr>
      <w:r>
        <w:rPr>
          <w:rFonts w:ascii="Arial" w:cs="Arial" w:eastAsia="Arial" w:hAnsi="Arial"/>
          <w:sz w:val="24"/>
          <w:szCs w:val="24"/>
        </w:rPr>
        <w:t xml:space="preserve">24. Все расходы, связанные с оформлением договора поручительства, возлагаются на субъект.</w:t>
      </w:r>
    </w:p>
    <w:p>
      <w:pPr>
        <w:spacing w:after="60"/>
        <w:ind w:firstLine="567"/>
        <w:jc w:val="both"/>
      </w:pPr>
      <w:r>
        <w:rPr>
          <w:rFonts w:ascii="Arial" w:cs="Arial" w:eastAsia="Arial" w:hAnsi="Arial"/>
          <w:sz w:val="24"/>
          <w:szCs w:val="24"/>
        </w:rPr>
        <w:t xml:space="preserve">25. При исполнении любых обязательств субъектом перед кредитором в первоочередном порядке освобождаются обязательства поручителя, обеспеченные в виде поручительства.</w:t>
      </w:r>
    </w:p>
    <w:p>
      <w:pPr>
        <w:spacing w:after="60"/>
        <w:ind w:firstLine="567"/>
        <w:jc w:val="both"/>
      </w:pPr>
      <w:r>
        <w:rPr>
          <w:rFonts w:ascii="Arial" w:cs="Arial" w:eastAsia="Arial" w:hAnsi="Arial"/>
          <w:sz w:val="24"/>
          <w:szCs w:val="24"/>
        </w:rPr>
        <w:t xml:space="preserve">26. Ответственность поручителя при неисполнении или ненадлежащем исполнении субъектом обеспеченных поручительством обязательств по договору определяется в соответствии с гражданским законодательством Кыргызской Республики и в размере суммы поручительства.</w:t>
      </w:r>
    </w:p>
    <w:p>
      <w:pPr>
        <w:spacing w:after="60"/>
        <w:ind w:firstLine="567"/>
        <w:jc w:val="both"/>
      </w:pPr>
      <w:r>
        <w:rPr>
          <w:rFonts w:ascii="Arial" w:cs="Arial" w:eastAsia="Arial" w:hAnsi="Arial"/>
          <w:sz w:val="24"/>
          <w:szCs w:val="24"/>
        </w:rPr>
        <w:t xml:space="preserve">27. Обязательства поручителя по исполнению поручительства осуществляются за счет средств уставного капитала, предусмотренных на предоставление поручительства. При этом годовой объем обязательств не должен превышать 80 процентов от общего объема средств, предусмотренных на предоставление поручительства.</w:t>
      </w:r>
    </w:p>
    <w:p>
      <w:pPr>
        <w:spacing w:after="60"/>
        <w:ind w:firstLine="567"/>
        <w:jc w:val="both"/>
      </w:pPr>
      <w:r>
        <w:rPr>
          <w:rFonts w:ascii="Arial" w:cs="Arial" w:eastAsia="Arial" w:hAnsi="Arial"/>
          <w:sz w:val="24"/>
          <w:szCs w:val="24"/>
        </w:rPr>
        <w:t xml:space="preserve">28. По согласованию сторон поручитель вправе исполнять принятые обязательства перед кредиторами путем передачи долговых государственных ценных бумаг (государственные казначейские облигации, государственные казначейские векселя), приобретенных за счет средств, предусмотренных на предоставление поручительства, в порядке и на условиях, установленных на момент их выкупа.</w:t>
      </w:r>
    </w:p>
    <w:p>
      <w:pPr>
        <w:spacing w:after="60"/>
        <w:ind w:firstLine="567"/>
        <w:jc w:val="both"/>
      </w:pPr>
      <w:r>
        <w:rPr>
          <w:rFonts w:ascii="Arial" w:cs="Arial" w:eastAsia="Arial" w:hAnsi="Arial"/>
          <w:sz w:val="24"/>
          <w:szCs w:val="24"/>
        </w:rPr>
        <w:t xml:space="preserve">29. Обязанность поручителя по исполнению обязательств субъекта наступает при нарушении субъектом сроков исполнения обязательств. При этом кредитор в письменном виде уведомляет поручителя о нарушении условий договора, допущенном субъектом.</w:t>
      </w:r>
    </w:p>
    <w:p>
      <w:pPr>
        <w:spacing w:after="60"/>
        <w:ind w:firstLine="567"/>
        <w:jc w:val="both"/>
      </w:pPr>
      <w:r>
        <w:rPr>
          <w:rFonts w:ascii="Arial" w:cs="Arial" w:eastAsia="Arial" w:hAnsi="Arial"/>
          <w:sz w:val="24"/>
          <w:szCs w:val="24"/>
        </w:rPr>
        <w:t xml:space="preserve">30. В случае если задержка в предоставлении финансирования, а также иные действия или бездействие кредитора, выражающиеся в нарушении условий договора, в том числе сроков перечисления средств, отказе от исполнения обязательств без законных оснований либо иных нарушениях, допущенных по его инициативе, повлекут негативные последствия для реализации проекта и ухудшат финансовое состояние субъекта, включая наступление его неплатежеспособности, при условии надлежащего исполнения субъектом всех договорных обязательств, кредитор утрачивает право предъявлять требования к поручителю по исполнению обеспеченных обязательств.</w:t>
      </w:r>
    </w:p>
    <w:p>
      <w:pPr>
        <w:spacing w:after="60"/>
        <w:ind w:firstLine="567"/>
        <w:jc w:val="both"/>
      </w:pPr>
      <w:r>
        <w:rPr>
          <w:rFonts w:ascii="Arial" w:cs="Arial" w:eastAsia="Arial" w:hAnsi="Arial"/>
          <w:sz w:val="24"/>
          <w:szCs w:val="24"/>
        </w:rPr>
        <w:t xml:space="preserve">В случае отказа кредитора от признания своей ответственности в досудебном порядке разрешение спора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31. Обязанность поручителя, указанная в пункте 29 настоящего Порядка, возникает после предоставления заверенной выписки по ссудному счету субъекта и реализации кредитором всех мер по взысканию задолженности в порядке, предусмотренном договорами и законодательством Кыргызской Республики.</w:t>
      </w:r>
    </w:p>
    <w:p>
      <w:pPr>
        <w:spacing w:after="60"/>
        <w:ind w:firstLine="567"/>
        <w:jc w:val="both"/>
      </w:pPr>
      <w:r>
        <w:rPr>
          <w:rFonts w:ascii="Arial" w:cs="Arial" w:eastAsia="Arial" w:hAnsi="Arial"/>
          <w:sz w:val="24"/>
          <w:szCs w:val="24"/>
        </w:rPr>
        <w:t xml:space="preserve">32. В случае наступления события, влекущего исполнение поручительства, кредитор направляет в адрес поручителя соответствующее уведомление, в котором указывается сумма основного долга и начисленных процентов по состоянию на дату направления уведомления. С момента уведомления о досудебном порядке урегулирования задолженности кредитор обязан приостановить начисление неустойки.</w:t>
      </w:r>
    </w:p>
    <w:p>
      <w:pPr>
        <w:spacing w:after="60"/>
        <w:ind w:firstLine="567"/>
        <w:jc w:val="both"/>
      </w:pPr>
      <w:r>
        <w:rPr>
          <w:rFonts w:ascii="Arial" w:cs="Arial" w:eastAsia="Arial" w:hAnsi="Arial"/>
          <w:sz w:val="24"/>
          <w:szCs w:val="24"/>
        </w:rPr>
        <w:t xml:space="preserve">33. В случае исполнения поручителем обязательств субъекта и установления факта нарушения субъектом условий договора поручительства поручитель вправе применить один или несколько из следующих механизмов возврата средств:</w:t>
      </w:r>
    </w:p>
    <w:p>
      <w:pPr>
        <w:spacing w:after="60"/>
        <w:ind w:firstLine="567"/>
        <w:jc w:val="both"/>
      </w:pPr>
      <w:r>
        <w:rPr>
          <w:rFonts w:ascii="Arial" w:cs="Arial" w:eastAsia="Arial" w:hAnsi="Arial"/>
          <w:sz w:val="24"/>
          <w:szCs w:val="24"/>
        </w:rPr>
        <w:t xml:space="preserve">1) согласно договору безакцептного (бесспорного) списания денежных средств при наличии денежных средств на расчетном счете в коммерческом банке поручитель вправе инициировать безакцептное списание сумм задолженности;</w:t>
      </w:r>
    </w:p>
    <w:p>
      <w:pPr>
        <w:spacing w:after="60"/>
        <w:ind w:firstLine="567"/>
        <w:jc w:val="both"/>
      </w:pPr>
      <w:r>
        <w:rPr>
          <w:rFonts w:ascii="Arial" w:cs="Arial" w:eastAsia="Arial" w:hAnsi="Arial"/>
          <w:sz w:val="24"/>
          <w:szCs w:val="24"/>
        </w:rPr>
        <w:t xml:space="preserve">2) принятие активов субъекта в счет уменьшения и/или погашения задолженности;</w:t>
      </w:r>
    </w:p>
    <w:p>
      <w:pPr>
        <w:spacing w:after="60"/>
        <w:ind w:firstLine="567"/>
        <w:jc w:val="both"/>
      </w:pPr>
      <w:r>
        <w:rPr>
          <w:rFonts w:ascii="Arial" w:cs="Arial" w:eastAsia="Arial" w:hAnsi="Arial"/>
          <w:sz w:val="24"/>
          <w:szCs w:val="24"/>
        </w:rPr>
        <w:t xml:space="preserve">3) назначение финансового контролера - поручитель вправе инициировать назначение финансового контролера в отношении субъекта с осуществлением контроля за его активами, финансовыми потоками и выполнением обязательств с целью последующего погашения задолженности. Совместно с кредитором поручитель также вправе участвовать в контроле за расходованием средств, обеспечивая их рационально целевое и эффективное использование в рамках реализации проекта и погашения задолженности;</w:t>
      </w:r>
    </w:p>
    <w:p>
      <w:pPr>
        <w:spacing w:after="60"/>
        <w:ind w:firstLine="567"/>
        <w:jc w:val="both"/>
      </w:pPr>
      <w:r>
        <w:rPr>
          <w:rFonts w:ascii="Arial" w:cs="Arial" w:eastAsia="Arial" w:hAnsi="Arial"/>
          <w:sz w:val="24"/>
          <w:szCs w:val="24"/>
        </w:rPr>
        <w:t xml:space="preserve">4) перевод долга субъекта на другое лицо. Допускается с согласия поручителя, если повышается надежность исполнения обязательств;</w:t>
      </w:r>
    </w:p>
    <w:p>
      <w:pPr>
        <w:spacing w:after="60"/>
        <w:ind w:firstLine="567"/>
        <w:jc w:val="both"/>
      </w:pPr>
      <w:r>
        <w:rPr>
          <w:rFonts w:ascii="Arial" w:cs="Arial" w:eastAsia="Arial" w:hAnsi="Arial"/>
          <w:sz w:val="24"/>
          <w:szCs w:val="24"/>
        </w:rPr>
        <w:t xml:space="preserve">5) в случае неисполнения субъектом обязательств поручитель вправе инициировать судебное разбирательство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34. После исполнения поручителем обязательств субъекта (частично или в полном объеме) к поручителю переходят все права кредитора в объеме исполненных обязательств. При этом кредитор обязан в трехдневный срок со дня исполнения обязательств поручителем передать ему все документы, удостоверяющие право требования к субъекту-должнику. В случае несвоевременного предоставления указанных документов кредитор несет ответственность в соответствии с условиями договора поручительства 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Возврат средств, выплаченных поручителем в рамках исполнения обязательств по договору поручительства, осуществляется субъектом на условиях, аналогичных условиям кредитного договора (сроки, процентная ставка, неустойки и другие), и начисляется до полного погашения задолженности перед поручителем.</w:t>
      </w:r>
    </w:p>
    <w:p>
      <w:pPr>
        <w:spacing w:after="60"/>
        <w:ind w:firstLine="567"/>
        <w:jc w:val="both"/>
      </w:pPr>
      <w:r>
        <w:rPr>
          <w:rFonts w:ascii="Arial" w:cs="Arial" w:eastAsia="Arial" w:hAnsi="Arial"/>
          <w:sz w:val="24"/>
          <w:szCs w:val="24"/>
        </w:rPr>
        <w:t xml:space="preserve">Начисленные проценты, неустойки за счет выплаченных поручителем кредитору средств перечисляются на расчетный счет поручителя.</w:t>
      </w:r>
    </w:p>
    <w:p>
      <w:pPr>
        <w:spacing w:after="60"/>
        <w:ind w:firstLine="567"/>
        <w:jc w:val="both"/>
      </w:pPr>
      <w:r>
        <w:rPr>
          <w:rFonts w:ascii="Arial" w:cs="Arial" w:eastAsia="Arial" w:hAnsi="Arial"/>
          <w:sz w:val="24"/>
          <w:szCs w:val="24"/>
        </w:rPr>
        <w:t xml:space="preserve">35. Поручительство предоставляется в соответствии с требованиями гражданского законодательства Кыргызской Республики.</w:t>
      </w:r>
    </w:p>
    <w:p>
      <w:pPr>
        <w:spacing w:after="200" w:before="200"/>
        <w:jc w:val="center"/>
      </w:pPr>
      <w:r>
        <w:rPr>
          <w:rFonts w:ascii="Arial" w:cs="Arial" w:eastAsia="Arial" w:hAnsi="Arial"/>
          <w:b/>
          <w:bCs/>
          <w:sz w:val="32"/>
          <w:szCs w:val="32"/>
        </w:rPr>
        <w:t xml:space="preserve">Глава 4. Особенности условий предоставления поручительства за счет средств фонда развития регионов</w:t>
      </w:r>
    </w:p>
    <w:p>
      <w:pPr>
        <w:spacing w:after="60"/>
        <w:ind w:firstLine="567"/>
        <w:jc w:val="both"/>
      </w:pPr>
      <w:r>
        <w:rPr>
          <w:rFonts w:ascii="Arial" w:cs="Arial" w:eastAsia="Arial" w:hAnsi="Arial"/>
          <w:sz w:val="24"/>
          <w:szCs w:val="24"/>
        </w:rPr>
        <w:t xml:space="preserve">36. Поручительство предоставляется для покрытия части обязательств субъекта, не обеспеченных залогом по кредиту, в размере не более 50 процентов от стоимости проекта.</w:t>
      </w:r>
    </w:p>
    <w:p>
      <w:pPr>
        <w:spacing w:after="60"/>
        <w:ind w:firstLine="567"/>
        <w:jc w:val="both"/>
      </w:pPr>
      <w:r>
        <w:rPr>
          <w:rFonts w:ascii="Arial" w:cs="Arial" w:eastAsia="Arial" w:hAnsi="Arial"/>
          <w:sz w:val="24"/>
          <w:szCs w:val="24"/>
        </w:rPr>
        <w:t xml:space="preserve">37. Сумма экономического проекта для предоставления поручительства составляет от 30000000 (тридцать миллионов) до 250000000 (двести пятьдесят миллионов) сомов.</w:t>
      </w:r>
    </w:p>
    <w:p>
      <w:pPr>
        <w:spacing w:after="60"/>
        <w:ind w:firstLine="567"/>
        <w:jc w:val="both"/>
      </w:pPr>
      <w:r>
        <w:rPr>
          <w:rFonts w:ascii="Arial" w:cs="Arial" w:eastAsia="Arial" w:hAnsi="Arial"/>
          <w:sz w:val="24"/>
          <w:szCs w:val="24"/>
        </w:rPr>
        <w:t xml:space="preserve">38. Поручительство предоставляется субъектам, осуществляющим деятельность в регионах, городах и областях республики, за исключением городов Бишкек и Ош.</w:t>
      </w:r>
    </w:p>
    <w:p>
      <w:pPr>
        <w:spacing w:after="60"/>
        <w:ind w:firstLine="567"/>
        <w:jc w:val="both"/>
      </w:pPr>
      <w:r>
        <w:rPr>
          <w:rFonts w:ascii="Arial" w:cs="Arial" w:eastAsia="Arial" w:hAnsi="Arial"/>
          <w:sz w:val="24"/>
          <w:szCs w:val="24"/>
        </w:rPr>
        <w:t xml:space="preserve">39. Отбор субъектов для предоставления поручительства осуществляется Наблюдательным советом фонда развития регионов с последующим перенаправлением соответствующего заключения в уполномоченный государственный орган по экономическому прогнозированию для инициирования решения Кабинета Министров.</w:t>
      </w:r>
    </w:p>
    <w:p>
      <w:pPr>
        <w:spacing w:after="60"/>
        <w:ind w:firstLine="567"/>
        <w:jc w:val="both"/>
      </w:pPr>
      <w:r>
        <w:rPr>
          <w:rFonts w:ascii="Arial" w:cs="Arial" w:eastAsia="Arial" w:hAnsi="Arial"/>
          <w:sz w:val="24"/>
          <w:szCs w:val="24"/>
        </w:rPr>
        <w:t xml:space="preserve">40. Поручительство предоставляется в виде субсидиарной ответственности.</w:t>
      </w:r>
    </w:p>
    <w:p>
      <w:pPr>
        <w:spacing w:after="60"/>
        <w:ind w:firstLine="567"/>
        <w:jc w:val="both"/>
      </w:pPr>
      <w:r>
        <w:rPr>
          <w:rFonts w:ascii="Arial" w:cs="Arial" w:eastAsia="Arial" w:hAnsi="Arial"/>
          <w:sz w:val="24"/>
          <w:szCs w:val="24"/>
        </w:rPr>
        <w:t xml:space="preserve">41. Источниками формирования средств являются 20 процентов из утвержденных Наблюдательным советом фонда развития регионов средств на финансирование экономических проектов путем перечисления на увеличение уставного капитала поручителя, предназначенные для исполнения обязательств по поручительству.</w:t>
      </w:r>
    </w:p>
    <w:p>
      <w:pPr>
        <w:spacing w:after="60"/>
        <w:ind w:firstLine="567"/>
        <w:jc w:val="both"/>
      </w:pPr>
      <w:r>
        <w:rPr>
          <w:rFonts w:ascii="Arial" w:cs="Arial" w:eastAsia="Arial" w:hAnsi="Arial"/>
          <w:sz w:val="24"/>
          <w:szCs w:val="24"/>
        </w:rPr>
        <w:t xml:space="preserve">42. Обязательства поручителя по исполнению поручительства осуществляются за счет средств уставного капитала, предусмотренных на предоставление поручительства. При этом годовой объем обязательств не должен превышать 80 процентов от общего объема средств, предусмотренных на предоставление поручительства из фонда развития регионов.</w:t>
      </w:r>
    </w:p>
    <w:p>
      <w:pPr>
        <w:spacing w:after="60"/>
        <w:ind w:firstLine="567"/>
        <w:jc w:val="both"/>
      </w:pPr>
      <w:r>
        <w:rPr>
          <w:rFonts w:ascii="Arial" w:cs="Arial" w:eastAsia="Arial" w:hAnsi="Arial"/>
          <w:sz w:val="24"/>
          <w:szCs w:val="24"/>
        </w:rPr>
        <w:t xml:space="preserve">43. Поручительство не предоставляется по обязательствам субъектов, финансированных за счет средств фонда развития регионов.</w:t>
      </w:r>
    </w:p>
    <w:p>
      <w:pPr>
        <w:spacing w:after="200" w:before="200"/>
        <w:jc w:val="center"/>
      </w:pPr>
      <w:r>
        <w:rPr>
          <w:rFonts w:ascii="Arial" w:cs="Arial" w:eastAsia="Arial" w:hAnsi="Arial"/>
          <w:b/>
          <w:bCs/>
          <w:sz w:val="32"/>
          <w:szCs w:val="32"/>
        </w:rPr>
        <w:t xml:space="preserve">Глава 5. Прекращение предоставления поручительства</w:t>
      </w:r>
    </w:p>
    <w:p>
      <w:pPr>
        <w:spacing w:after="60"/>
        <w:ind w:firstLine="567"/>
        <w:jc w:val="both"/>
      </w:pPr>
      <w:r>
        <w:rPr>
          <w:rFonts w:ascii="Arial" w:cs="Arial" w:eastAsia="Arial" w:hAnsi="Arial"/>
          <w:sz w:val="24"/>
          <w:szCs w:val="24"/>
        </w:rPr>
        <w:t xml:space="preserve">44. Поручительство прекращается с прекращением обеспеченного им обязательства, а также в случае его изменения, влекущего увеличение ответственности или иные неблагоприятные последствия для поручителя, без согласия последнего.</w:t>
      </w:r>
    </w:p>
    <w:p>
      <w:pPr>
        <w:spacing w:after="60"/>
        <w:ind w:firstLine="567"/>
        <w:jc w:val="both"/>
      </w:pPr>
      <w:r>
        <w:rPr>
          <w:rFonts w:ascii="Arial" w:cs="Arial" w:eastAsia="Arial" w:hAnsi="Arial"/>
          <w:sz w:val="24"/>
          <w:szCs w:val="24"/>
        </w:rPr>
        <w:t xml:space="preserve">45. Поручительство прекращается с переводом на другое лицо долга по обеспеченному поручительством обязательству, если поручитель не дал кредитору согласия отвечать за нового должника.</w:t>
      </w:r>
    </w:p>
    <w:p>
      <w:pPr>
        <w:spacing w:after="60"/>
        <w:ind w:firstLine="567"/>
        <w:jc w:val="both"/>
      </w:pPr>
      <w:r>
        <w:rPr>
          <w:rFonts w:ascii="Arial" w:cs="Arial" w:eastAsia="Arial" w:hAnsi="Arial"/>
          <w:sz w:val="24"/>
          <w:szCs w:val="24"/>
        </w:rPr>
        <w:t xml:space="preserve">46. Поручительство прекращается, если по наступлении срока исполнения обеспеченного им обязательства кредитор отказался принять надлежащее исполнение, предложенное субъектом или поручителем.</w:t>
      </w:r>
    </w:p>
    <w:p>
      <w:pPr>
        <w:spacing w:after="60"/>
        <w:ind w:firstLine="567"/>
        <w:jc w:val="both"/>
      </w:pPr>
      <w:r>
        <w:rPr>
          <w:rFonts w:ascii="Arial" w:cs="Arial" w:eastAsia="Arial" w:hAnsi="Arial"/>
          <w:sz w:val="24"/>
          <w:szCs w:val="24"/>
        </w:rPr>
        <w:t xml:space="preserve">47. Поручительство прекращается по истечении срока, на который оно дано, указанного в договоре поручительства. Если такой срок не установлен, оно прекращается, если в течение одного года со дня наступления срока исполнения обязательства, обеспеченного поручительством, кредитор не предъявит требования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требования к поручителю в течение двух лет со дня заключения договора поручительства.</w:t>
      </w:r>
    </w:p>
    <w:p>
      <w:pPr>
        <w:spacing w:after="60"/>
        <w:ind w:firstLine="567"/>
        <w:jc w:val="both"/>
      </w:pPr>
      <w:r>
        <w:rPr>
          <w:rFonts w:ascii="Arial" w:cs="Arial" w:eastAsia="Arial" w:hAnsi="Arial"/>
          <w:sz w:val="24"/>
          <w:szCs w:val="24"/>
        </w:rPr>
        <w:t xml:space="preserve">48. Поручительство прекращается, если при анализе платежеспособности и принятии решения о предоставлении кредита кредитор скрыл существенные факты или представил заведомо недостоверные сведения, что в свою очередь привело к неплатежеспособности заемщика.</w:t>
      </w:r>
    </w:p>
    <w:p>
      <w:pPr>
        <w:spacing w:after="200" w:before="200"/>
        <w:jc w:val="center"/>
      </w:pPr>
      <w:r>
        <w:rPr>
          <w:rFonts w:ascii="Arial" w:cs="Arial" w:eastAsia="Arial" w:hAnsi="Arial"/>
          <w:b/>
          <w:bCs/>
          <w:sz w:val="32"/>
          <w:szCs w:val="32"/>
        </w:rPr>
        <w:t xml:space="preserve">Глава 6. Мониторинг деятельности субъекта в рамках предоставленного поручительства</w:t>
      </w:r>
    </w:p>
    <w:p>
      <w:pPr>
        <w:spacing w:after="60"/>
        <w:ind w:firstLine="567"/>
        <w:jc w:val="both"/>
      </w:pPr>
      <w:r>
        <w:rPr>
          <w:rFonts w:ascii="Arial" w:cs="Arial" w:eastAsia="Arial" w:hAnsi="Arial"/>
          <w:sz w:val="24"/>
          <w:szCs w:val="24"/>
        </w:rPr>
        <w:t xml:space="preserve">49. Поручитель вправе проводить мониторинг деятельности субъекта в рамках заключенного договора поручительства, в том числе с привлечением независимых экспертов и специалистов, имеющих опыт профессиональной деятельности в соответствующей области, в том числе за счет средств разовой комиссии.</w:t>
      </w:r>
    </w:p>
    <w:p>
      <w:pPr>
        <w:spacing w:after="60"/>
        <w:ind w:firstLine="567"/>
        <w:jc w:val="both"/>
      </w:pPr>
      <w:r>
        <w:rPr>
          <w:rFonts w:ascii="Arial" w:cs="Arial" w:eastAsia="Arial" w:hAnsi="Arial"/>
          <w:sz w:val="24"/>
          <w:szCs w:val="24"/>
        </w:rPr>
        <w:t xml:space="preserve">50. Субъект обязан по первому требованию поручителя предоставлять всю запрашиваемую информацию, необходимую для качественного и объективного анализа его деятельности.</w:t>
      </w:r>
    </w:p>
    <w:p>
      <w:pPr>
        <w:spacing w:after="200" w:before="200"/>
        <w:jc w:val="center"/>
      </w:pPr>
      <w:r>
        <w:rPr>
          <w:rFonts w:ascii="Arial" w:cs="Arial" w:eastAsia="Arial" w:hAnsi="Arial"/>
          <w:b/>
          <w:bCs/>
          <w:sz w:val="32"/>
          <w:szCs w:val="32"/>
        </w:rPr>
        <w:t xml:space="preserve">Глава 7. Источники формирования средств для предоставления поручительства</w:t>
      </w:r>
    </w:p>
    <w:p>
      <w:pPr>
        <w:spacing w:after="60"/>
        <w:ind w:firstLine="567"/>
        <w:jc w:val="both"/>
      </w:pPr>
      <w:r>
        <w:rPr>
          <w:rFonts w:ascii="Arial" w:cs="Arial" w:eastAsia="Arial" w:hAnsi="Arial"/>
          <w:sz w:val="24"/>
          <w:szCs w:val="24"/>
        </w:rPr>
        <w:t xml:space="preserve">51. Источниками формирования средств для предоставления поручительства являются:</w:t>
      </w:r>
    </w:p>
    <w:p>
      <w:pPr>
        <w:spacing w:after="60"/>
        <w:ind w:firstLine="567"/>
        <w:jc w:val="both"/>
      </w:pPr>
      <w:r>
        <w:rPr>
          <w:rFonts w:ascii="Arial" w:cs="Arial" w:eastAsia="Arial" w:hAnsi="Arial"/>
          <w:sz w:val="24"/>
          <w:szCs w:val="24"/>
        </w:rPr>
        <w:t xml:space="preserve">1) средства, которые уполномоченный государственный орган ежегодно предусматривает в республиканском бюджете для реализации механизма предоставления поручительства субъектам на соответствующий год в размере не более 1 процента от объема совокупных расходов (без учета средств предоставления поручительства) путем перечисления на увеличение уставного капитала поручителя, предназначенные для исполнения обязательств по поручительству;</w:t>
      </w:r>
    </w:p>
    <w:p>
      <w:pPr>
        <w:spacing w:after="60"/>
        <w:ind w:firstLine="567"/>
        <w:jc w:val="both"/>
      </w:pPr>
      <w:r>
        <w:rPr>
          <w:rFonts w:ascii="Arial" w:cs="Arial" w:eastAsia="Arial" w:hAnsi="Arial"/>
          <w:sz w:val="24"/>
          <w:szCs w:val="24"/>
        </w:rPr>
        <w:t xml:space="preserve">2) средства, аккумулируемые на накопительных счетах центрального казначейства Министерства финансов Кыргызской Республики, открытых в Национальном банке Кыргызской Республики, распоряжение которыми не требует согласия доноров и/или с согласия доноров;</w:t>
      </w:r>
    </w:p>
    <w:p>
      <w:pPr>
        <w:spacing w:after="60"/>
        <w:ind w:firstLine="567"/>
        <w:jc w:val="both"/>
      </w:pPr>
      <w:r>
        <w:rPr>
          <w:rFonts w:ascii="Arial" w:cs="Arial" w:eastAsia="Arial" w:hAnsi="Arial"/>
          <w:sz w:val="24"/>
          <w:szCs w:val="24"/>
        </w:rPr>
        <w:t xml:space="preserve">3) средства уставного капитала поручителя, предназначенные для предоставления поручительства;</w:t>
      </w:r>
    </w:p>
    <w:p>
      <w:pPr>
        <w:spacing w:after="60"/>
        <w:ind w:firstLine="567"/>
        <w:jc w:val="both"/>
      </w:pPr>
      <w:r>
        <w:rPr>
          <w:rFonts w:ascii="Arial" w:cs="Arial" w:eastAsia="Arial" w:hAnsi="Arial"/>
          <w:sz w:val="24"/>
          <w:szCs w:val="24"/>
        </w:rPr>
        <w:t xml:space="preserve">4) другие источники финансирования, привлечение которых не противоречит законодательству Кыргызской Республики.</w:t>
      </w:r>
    </w:p>
    <w:p>
      <w:pPr>
        <w:spacing w:after="200" w:before="200"/>
        <w:jc w:val="center"/>
      </w:pPr>
      <w:r>
        <w:rPr>
          <w:rFonts w:ascii="Arial" w:cs="Arial" w:eastAsia="Arial" w:hAnsi="Arial"/>
          <w:b/>
          <w:bCs/>
          <w:sz w:val="32"/>
          <w:szCs w:val="32"/>
        </w:rPr>
        <w:t xml:space="preserve">Глава 8. Порядок формирования средств для предоставления поручительства</w:t>
      </w:r>
    </w:p>
    <w:p>
      <w:pPr>
        <w:spacing w:after="60"/>
        <w:ind w:firstLine="567"/>
        <w:jc w:val="both"/>
      </w:pPr>
      <w:r>
        <w:rPr>
          <w:rFonts w:ascii="Arial" w:cs="Arial" w:eastAsia="Arial" w:hAnsi="Arial"/>
          <w:sz w:val="24"/>
          <w:szCs w:val="24"/>
        </w:rPr>
        <w:t xml:space="preserve">52. Средства уставного капитала, предусмотренные на предоставление поручительства, размещаются:</w:t>
      </w:r>
    </w:p>
    <w:p>
      <w:pPr>
        <w:spacing w:after="60"/>
        <w:ind w:firstLine="567"/>
        <w:jc w:val="both"/>
      </w:pPr>
      <w:r>
        <w:rPr>
          <w:rFonts w:ascii="Arial" w:cs="Arial" w:eastAsia="Arial" w:hAnsi="Arial"/>
          <w:sz w:val="24"/>
          <w:szCs w:val="24"/>
        </w:rPr>
        <w:t xml:space="preserve">1) на депозитных счетах, открытых в коммерческих банках;</w:t>
      </w:r>
    </w:p>
    <w:p>
      <w:pPr>
        <w:spacing w:after="60"/>
        <w:ind w:firstLine="567"/>
        <w:jc w:val="both"/>
      </w:pPr>
      <w:r>
        <w:rPr>
          <w:rFonts w:ascii="Arial" w:cs="Arial" w:eastAsia="Arial" w:hAnsi="Arial"/>
          <w:sz w:val="24"/>
          <w:szCs w:val="24"/>
        </w:rPr>
        <w:t xml:space="preserve">2) в государственных ценных бумагах;</w:t>
      </w:r>
    </w:p>
    <w:p>
      <w:pPr>
        <w:spacing w:after="60"/>
        <w:ind w:firstLine="567"/>
        <w:jc w:val="both"/>
      </w:pPr>
      <w:r>
        <w:rPr>
          <w:rFonts w:ascii="Arial" w:cs="Arial" w:eastAsia="Arial" w:hAnsi="Arial"/>
          <w:sz w:val="24"/>
          <w:szCs w:val="24"/>
        </w:rPr>
        <w:t xml:space="preserve">3) в драгоценных металлах;</w:t>
      </w:r>
    </w:p>
    <w:p>
      <w:pPr>
        <w:spacing w:after="60"/>
        <w:ind w:firstLine="567"/>
        <w:jc w:val="both"/>
      </w:pPr>
      <w:r>
        <w:rPr>
          <w:rFonts w:ascii="Arial" w:cs="Arial" w:eastAsia="Arial" w:hAnsi="Arial"/>
          <w:sz w:val="24"/>
          <w:szCs w:val="24"/>
        </w:rPr>
        <w:t xml:space="preserve">4) в других финансовых инструментах согласно уставной деятельности поручителя.".</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2bwroe9uy3cubbcwbjdx" Type="http://schemas.openxmlformats.org/officeDocument/2006/relationships/hyperlink" Target="http://kodeks.duckdns.org/document/111338#st_63_1" TargetMode="External"/><Relationship Id="rIdzcxm0afw43uqolbqnu90m" Type="http://schemas.openxmlformats.org/officeDocument/2006/relationships/hyperlink" Target="http://kodeks.duckdns.org/document/112301#st_13" TargetMode="External"/><Relationship Id="rId5fph9mapy4wf192_zku2t" Type="http://schemas.openxmlformats.org/officeDocument/2006/relationships/hyperlink" Target="http://kodeks.duckdns.org/document/112301#st_17" TargetMode="External"/><Relationship Id="rIdijrp7g2-inluqimt-xqo5" Type="http://schemas.openxmlformats.org/officeDocument/2006/relationships/hyperlink" Target="http://kodeks.duckdns.org/document/158690" TargetMode="External"/><Relationship Id="rIdvqhpbg6w0_ip3jmm-fxcu" Type="http://schemas.openxmlformats.org/officeDocument/2006/relationships/hyperlink" Target="http://kodeks.duckdns.org/document/158728" TargetMode="External"/><Relationship Id="rIddwt6yopyeuxhgyo9im9gy" Type="http://schemas.openxmlformats.org/officeDocument/2006/relationships/hyperlink" Target="http://kodeks.duckdns.org/document/158690" TargetMode="External"/><Relationship Id="rIdz97br5r6heck4tsu7cnqc" Type="http://schemas.openxmlformats.org/officeDocument/2006/relationships/hyperlink" Target="http://kodeks.duckdns.org/document/230031529" TargetMode="External"/><Relationship Id="rId92-1wyzqss7astmma4lo1" Type="http://schemas.openxmlformats.org/officeDocument/2006/relationships/hyperlink" Target="http://kodeks.duckdns.org/document/230031532" TargetMode="External"/><Relationship Id="rIdwcn4z2geptspalg6zn2ky" Type="http://schemas.openxmlformats.org/officeDocument/2006/relationships/hyperlink" Target="http://kodeks.duckdns.org/document/230031529" TargetMode="External"/><Relationship Id="rId4zz0pb11wj7inr8-33bkl" Type="http://schemas.openxmlformats.org/officeDocument/2006/relationships/hyperlink" Target="http://kodeks.duckdns.org/document/230031532" TargetMode="External"/><Relationship Id="rId4oiafcdwc-6x6bedalkbj" Type="http://schemas.openxmlformats.org/officeDocument/2006/relationships/hyperlink" Target="http://kodeks.duckdns.org/document/230031529" TargetMode="External"/><Relationship Id="rIdeludhvn1mx7cl8z1sq4gn" Type="http://schemas.openxmlformats.org/officeDocument/2006/relationships/hyperlink" Target="http://kodeks.duckdns.org/document/230038979#pr" TargetMode="External"/><Relationship Id="rIdtgy7phtcpuxttif6ozqzk" Type="http://schemas.openxmlformats.org/officeDocument/2006/relationships/hyperlink" Target="http://kodeks.duckdns.org/document/230031532"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2026-09-23T09:37:17.208Z</dcterms:created>
  <dcterms:modified xsi:type="dcterms:W3CDTF">2026-09-23T09:37:17.208Z</dcterms:modified>
</cp:coreProperties>
</file>

<file path=docProps/custom.xml><?xml version="1.0" encoding="utf-8"?>
<Properties xmlns="http://schemas.openxmlformats.org/officeDocument/2006/custom-properties" xmlns:vt="http://schemas.openxmlformats.org/officeDocument/2006/docPropsVTypes"/>
</file>