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2025 года № 1176-т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развития системы обязательного медицинского страхования граждан в Кыргызской Республике, </w:t>
      </w:r>
      <w:r>
        <w:rPr>
          <w:rFonts w:ascii="Arial" w:cs="Arial" w:eastAsia="Arial" w:hAnsi="Arial"/>
          <w:sz w:val="24"/>
          <w:szCs w:val="24"/>
        </w:rPr>
        <w:t xml:space="preserve">обеспечения </w:t>
      </w:r>
      <w:r>
        <w:rPr>
          <w:rFonts w:ascii="Arial" w:cs="Arial" w:eastAsia="Arial" w:hAnsi="Arial"/>
          <w:sz w:val="24"/>
          <w:szCs w:val="24"/>
        </w:rPr>
        <w:t xml:space="preserve">доступа к качественным медицинским услуг</w:t>
      </w:r>
      <w:r>
        <w:rPr>
          <w:rFonts w:ascii="Arial" w:cs="Arial" w:eastAsia="Arial" w:hAnsi="Arial"/>
          <w:sz w:val="24"/>
          <w:szCs w:val="24"/>
        </w:rPr>
        <w:t xml:space="preserve">ам</w:t>
      </w:r>
      <w:r>
        <w:rPr>
          <w:rFonts w:ascii="Arial" w:cs="Arial" w:eastAsia="Arial" w:hAnsi="Arial"/>
          <w:sz w:val="24"/>
          <w:szCs w:val="24"/>
        </w:rPr>
        <w:t xml:space="preserve">, в соответствии со статьями </w:t>
      </w:r>
      <w:hyperlink w:history="1" r:id="rIdd3ggyaluemgvnqt1dlz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cke027sc2wbrwr90fl8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Утвердить Дорожную карту по совершенствованию системы обязательного медицинского страхования на 2026</w:t>
      </w:r>
      <w:r>
        <w:rPr>
          <w:rFonts w:ascii="Arial" w:cs="Arial" w:eastAsia="Arial" w:hAnsi="Arial"/>
          <w:sz w:val="24"/>
          <w:szCs w:val="24"/>
        </w:rPr>
        <w:t xml:space="preserve">–2028</w:t>
      </w:r>
      <w:r>
        <w:rPr>
          <w:rFonts w:ascii="Arial" w:cs="Arial" w:eastAsia="Arial" w:hAnsi="Arial"/>
          <w:sz w:val="24"/>
          <w:szCs w:val="24"/>
        </w:rPr>
        <w:t xml:space="preserve"> год</w:t>
      </w:r>
      <w:r>
        <w:rPr>
          <w:rFonts w:ascii="Arial" w:cs="Arial" w:eastAsia="Arial" w:hAnsi="Arial"/>
          <w:sz w:val="24"/>
          <w:szCs w:val="24"/>
        </w:rPr>
        <w:t xml:space="preserve">ы 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далее – Дорожная карта)</w:t>
      </w:r>
      <w:r>
        <w:rPr>
          <w:rFonts w:ascii="Arial" w:cs="Arial" w:eastAsia="Arial" w:hAnsi="Arial"/>
          <w:sz w:val="24"/>
          <w:szCs w:val="24"/>
        </w:rPr>
        <w:t xml:space="preserve"> согласно </w:t>
      </w:r>
      <w:hyperlink w:history="1" r:id="rIduc-ojzm6uu-lrcnz0hb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Государственным органам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 задействованным в реализации Дорожной карты: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принять конкретные меры по </w:t>
      </w:r>
      <w:r>
        <w:rPr>
          <w:rFonts w:ascii="Arial" w:cs="Arial" w:eastAsia="Arial" w:hAnsi="Arial"/>
          <w:sz w:val="24"/>
          <w:szCs w:val="24"/>
        </w:rPr>
        <w:t xml:space="preserve">выполнению Дорожной</w:t>
      </w:r>
      <w:r>
        <w:rPr>
          <w:rFonts w:ascii="Arial" w:cs="Arial" w:eastAsia="Arial" w:hAnsi="Arial"/>
          <w:sz w:val="24"/>
          <w:szCs w:val="24"/>
        </w:rPr>
        <w:t xml:space="preserve"> карты в установленные сроки;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ежеквартально не позднее 10 числа месяца, следующего за отчетным периодом, представлять в Фонд обязательного медицинского страхования при Министерстве здравоохранения Кыргызской Республики информацию о выполнении</w:t>
      </w:r>
      <w:r>
        <w:rPr>
          <w:rFonts w:ascii="Arial" w:cs="Arial" w:eastAsia="Arial" w:hAnsi="Arial"/>
          <w:sz w:val="24"/>
          <w:szCs w:val="24"/>
        </w:rPr>
        <w:t xml:space="preserve">Дорожной</w:t>
      </w:r>
      <w:r>
        <w:rPr>
          <w:rFonts w:ascii="Arial" w:cs="Arial" w:eastAsia="Arial" w:hAnsi="Arial"/>
          <w:sz w:val="24"/>
          <w:szCs w:val="24"/>
        </w:rPr>
        <w:t xml:space="preserve"> карты.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Фонду обязательного медицинского страхования при Министерстве здравоохранения Кыргызской Республики по итогам каждого полугодия, не позднее 25 июля и 25 января, представлять в Администрацию Президента Кыргызской Республики обобщенный отчет о ходе выполнения Дорожной карты.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Установить, что финансирование мероприятий, указанных в Дорожной карте, осуществляется за счет средств задействованных государственных органов и иных источников, не запрещенных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Признать утратившим силу </w:t>
      </w:r>
      <w:hyperlink w:history="1" r:id="rIdq8vhvcfa2vy9pvftjzy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4 августа 2023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450-р.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ДОРОЖНАЯ КАРТА
 по совершенствованию системы обязательного медицинского страхования на 2026-2028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7"/>
        <w:gridCol w:w="2384"/>
        <w:gridCol w:w="1992"/>
        <w:gridCol w:w="811"/>
        <w:gridCol w:w="1997"/>
        <w:gridCol w:w="1439"/>
        <w:gridCol w:w="1318"/>
      </w:tblGrid>
      <w:tr>
        <w:tc>
          <w:tcPr>
            <w:tcW w:type="dxa" w:w="2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3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</w:t>
            </w:r>
          </w:p>
        </w:tc>
        <w:tc>
          <w:tcPr>
            <w:tcW w:type="dxa" w:w="19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8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19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14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3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Создание благоприятных условий для устойчивого охвата обязательным медицинским страхованием</w:t>
            </w:r>
          </w:p>
        </w:tc>
      </w:tr>
      <w:tr>
        <w:tc>
          <w:tcPr>
            <w:tcW w:type="dxa" w:w="2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охвата обязательным медицинским страхованием незастрахованных категорий граждан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реализацию полиса ОМС</w:t>
            </w:r>
          </w:p>
        </w:tc>
        <w:tc>
          <w:tcPr>
            <w:tcW w:type="dxa" w:w="8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2026-2028 годы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в Кыргызской Республике обеспечены медицинским страхованием: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 77% (2026 год),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 80% (2027 год),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 85% (2028 год)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ФОМС, МЗ</w:t>
            </w:r>
          </w:p>
        </w:tc>
        <w:tc>
          <w:tcPr>
            <w:tcW w:type="dxa" w:w="13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охват обязательным медицинским страхованием иностранных граждан, обучающихся в образовательных организациях Кыргызской Республики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охват обязательным медицинским страхованием иностранных граждан, обучающихся в образовательных организациях Кыргызской Республики, до 95%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ФОМС, МНВОИ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механизма учета и присвоения статуса застрахованного лица по обязательному медицинскому страхованию иностранным гражданам, приобретающим патент на территории Кыргызской Республики, с целью их включения в систему ОМС и обеспечения устойчивого межведомственного обмена данными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нормативные основы для учета иностранных граждан, приобретающих патент, и присвоения им статуса застрахованного лица</w:t>
            </w:r>
          </w:p>
        </w:tc>
        <w:tc>
          <w:tcPr>
            <w:tcW w:type="dxa" w:w="8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2026-2027 годы</w:t>
            </w:r>
          </w:p>
        </w:tc>
        <w:tc>
          <w:tcPr>
            <w:tcW w:type="dxa" w:w="19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включение иностранных граждан в систему ОМС и повышение уровня охвата медицинским страхованием</w:t>
            </w:r>
          </w:p>
        </w:tc>
        <w:tc>
          <w:tcPr>
            <w:tcW w:type="dxa" w:w="14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ФОМС, ГНС, СФ, МТСОМ, МЦРИТ, МЭК, МЗ</w:t>
            </w:r>
          </w:p>
        </w:tc>
        <w:tc>
          <w:tcPr>
            <w:tcW w:type="dxa" w:w="13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цифровой механизм межведомственного электронного обмена данными между ФОМС и другими заинтересованными государственными органами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Программы государственных гарантий по обеспечению граждан медико-санитарной помощью с переориентацией на социально-уязвимые категории граждан и застрахованных лиц по ОМС для получения медицинских, профилактических и фармацевтических услуг по принципу страхования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</w:t>
            </w:r>
            <w:hyperlink w:history="1" r:id="rIdauqaipwilbingse4apk6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"Об утверждении </w:t>
            </w:r>
            <w:hyperlink w:history="1" r:id="rIddl3xaxmow3s22bhuu0tu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Программы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гарантий по обеспечению граждан медико-санитарной помощью" от 21 сентября 2023 года № 493</w:t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поэтапное внедрение медицинских, профилактических и фармацевтических услуг для населения на среднесрочную перспективу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МЗ, ФОМС</w:t>
            </w:r>
          </w:p>
        </w:tc>
      </w:tr>
      <w:tr>
        <w:tc>
          <w:tcPr>
            <w:tcW w:type="dxa" w:w="2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Поэтапный пересмотр размера расчетного показателя страхового взноса на обязательное медицинское страхование за социально-уязвимые категории населения с учетом финансовых возможностей республиканского бюджета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Закона</w:t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2027-2028 годы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сбалансированность бюджета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ФОМС, МФ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бюджета, бюджета ФОМС</w:t>
            </w:r>
          </w:p>
        </w:tc>
      </w:tr>
      <w:tr>
        <w:tc>
          <w:tcPr>
            <w:tcW w:type="dxa" w:w="2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наличия полиса ОМС у спортсменов, участвующих в спортивных соревнованиях на территории Кыргызской Республики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утвердить порядок самостоятельного приобретения спортсменами полиса ОМС</w:t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2026-2028 годы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расширение охвата медицинским обязательным страхованием спортсменов, не имеющих полиса ОМС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ФОМС, ГАФКС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ФОМС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Обеспечение контроля качества медицинской помощи</w:t>
            </w:r>
          </w:p>
        </w:tc>
      </w:tr>
      <w:tr>
        <w:tc>
          <w:tcPr>
            <w:tcW w:type="dxa" w:w="2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3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процессов оценки и экспертизы качества медицинских услуг с утверждением методического руководства для организаций здравоохранения первичной медико-санитарной помощи и стационаров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методику цифрового контроля качества медицинских услуг на основе цифровой медицинской карты пациента</w:t>
            </w:r>
          </w:p>
        </w:tc>
        <w:tc>
          <w:tcPr>
            <w:tcW w:type="dxa" w:w="8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2027-2028 годы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Повышены качество и объективность оценки медицинских услуг, снижено влияние человеческого фактора, стандартизированы подходы и расширен охват организаций здравоохранения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МЗ,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техническое задание для цифрового решения, позволяющего осуществлять цифровой контроль качества медицинских услуг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Цифровое решение введено в эксплуатацию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МЦРИТ, ОАО "Тундук"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ФОМС, средства доноров</w:t>
            </w:r>
          </w:p>
        </w:tc>
      </w:tr>
      <w:tr>
        <w:tc>
          <w:tcPr>
            <w:tcW w:type="dxa" w:w="2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и разработка принятия финансовых мер, применяемых в отношении организаций здравоохранения, работающих в системе единого плательщика, по итогам контроля качества предоставляемых медицинских услуг посредством ОМС с учетом всех установленных коэффициентов: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подушевого норматива в организации здравоохранения первичной медико-санитарной помощи;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базовой ставки пролеченного случая в стационаре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утвердить приказ Министерства здравоохранения Кыргызской Республики</w:t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методика принятия финансовых мер, применяемых в отношении организаций здравоохранения, работающих в системе единого плательщика, по итогам контроля качества предоставления медицинских услуг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ФОМС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Внедрение цифровых сервисов</w:t>
            </w:r>
          </w:p>
        </w:tc>
      </w:tr>
      <w:tr>
        <w:tc>
          <w:tcPr>
            <w:tcW w:type="dxa" w:w="2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3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Интеграция информационной системы ФОМС с информационными системами Министерства цифрового развития и инновационных технологий Кыргызской Республики, Министерства просвещения Кыргызской Республики, Министерства науки, высшего образования и инноваций Кыргызской Республики, Министерства труда, социального обеспечения и миграции Кыргызской Республики, Социального фонда Кыргызской Республики при Кабинете Министров Кыргызской Республики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Заключить соглашения о межведомственном электронном обмене данными</w:t>
            </w:r>
          </w:p>
        </w:tc>
        <w:tc>
          <w:tcPr>
            <w:tcW w:type="dxa" w:w="8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2027-2028 годы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юридическая основа для электронного взаимодействия сторон</w:t>
            </w:r>
          </w:p>
        </w:tc>
        <w:tc>
          <w:tcPr>
            <w:tcW w:type="dxa" w:w="14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ФОМС, СФ, Минпросвещения, МНВОИ, МТСОМ, МЗ, МЦРИТ, ОАО "Тундук", МФ (для мониторинга и анализа)</w:t>
            </w:r>
          </w:p>
        </w:tc>
        <w:tc>
          <w:tcPr>
            <w:tcW w:type="dxa" w:w="13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Бюджеты задействованных государственных органов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сервисы для обеспечения электронного взаимодействия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сервисы были опубликованы сторонами в системе межведомственного электронного взаимодействия "Тундук" и предоставлены соответствующие доступы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3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системы отслеживания, мониторинга, оценки и обеспечения отчетности поступающих взносов за ОМС со стороны плательщиков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техническое задание личного кабинета для застрахованных лиц по ОМС</w:t>
            </w:r>
          </w:p>
        </w:tc>
        <w:tc>
          <w:tcPr>
            <w:tcW w:type="dxa" w:w="8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2027-2028 годы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личный кабинет застрахованного лица по ОМС</w:t>
            </w:r>
          </w:p>
        </w:tc>
        <w:tc>
          <w:tcPr>
            <w:tcW w:type="dxa" w:w="14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ФОМС, СФ, МЦРИТ, ОАО "Тундук"</w:t>
            </w:r>
          </w:p>
        </w:tc>
        <w:tc>
          <w:tcPr>
            <w:tcW w:type="dxa" w:w="13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Бюджеты задействованных государственных органов,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личный кабинет для застрахованных лиц по ОМС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Цифровое решение введено в эксплуатацию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МЦРИТ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и инновационных технологий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МНВОИ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науки, высшего образования и инноваций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Минпросвещения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просвещения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Социальный фонд Кыргызской Республики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ГАФКС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физической культуры и спорта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"Тундук"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"Тундук"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обязательного медицинского страхования при Министерстве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обязательное медицинское страхование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lq4kvc4utprfdb8wyu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dalil.kg/document/230039137</w:t>
      </w:r>
    </w:hyperlink>
  </w:p>
  <w:p>
    <w:pPr>
      <w:spacing w:after="0" w:before="40"/>
      <w:jc w:val="center"/>
    </w:pPr>
    <w:hyperlink w:history="1" r:id="rIdo7f96hma9ry5x2cb0a0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3ggyaluemgvnqt1dlza_" Type="http://schemas.openxmlformats.org/officeDocument/2006/relationships/hyperlink" Target="https://dalil.kg/document/112301#st_13" TargetMode="External"/><Relationship Id="rIdwcke027sc2wbrwr90fl81" Type="http://schemas.openxmlformats.org/officeDocument/2006/relationships/hyperlink" Target="https://dalil.kg/document/112301#st_17" TargetMode="External"/><Relationship Id="rIduc-ojzm6uu-lrcnz0hblq" Type="http://schemas.openxmlformats.org/officeDocument/2006/relationships/hyperlink" Target="https://dalil.kg/document/230039137#pr" TargetMode="External"/><Relationship Id="rIdq8vhvcfa2vy9pvftjzy1l" Type="http://schemas.openxmlformats.org/officeDocument/2006/relationships/hyperlink" Target="https://dalil.kg/document/219698" TargetMode="External"/><Relationship Id="rIdauqaipwilbingse4apk6z" Type="http://schemas.openxmlformats.org/officeDocument/2006/relationships/hyperlink" Target="https://dalil.kg/document/160439" TargetMode="External"/><Relationship Id="rIddl3xaxmow3s22bhuu0tu1" Type="http://schemas.openxmlformats.org/officeDocument/2006/relationships/hyperlink" Target="https://dalil.kg/document/16044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lq4kvc4utprfdb8wyuch" Type="http://schemas.openxmlformats.org/officeDocument/2006/relationships/hyperlink" Target="https://dalil.kg/document/230039137" TargetMode="External"/><Relationship Id="rIdo7f96hma9ry5x2cb0a0p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2026-09-26T22:58:32.923Z</dcterms:created>
  <dcterms:modified xsi:type="dcterms:W3CDTF">2026-09-26T22:58:32.923Z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