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бюджетного</w:t>
      </w: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организаций Кыргызской Республики на одного обучающегося в год</w:t>
      </w:r>
    </w:p>
    <w:p>
      <w:pPr>
        <w:spacing w:before="2"/>
        <w:jc w:val="center"/>
      </w:pPr>
      <w:r>
        <w:rPr>
          <w:rFonts w:ascii="Arial" w:cs="Arial" w:eastAsia="Arial" w:hAnsi="Arial"/>
          <w:sz w:val="24"/>
          <w:szCs w:val="24"/>
        </w:rPr>
        <w:t xml:space="preserve">(без</w:t>
      </w:r>
      <w:r>
        <w:rPr>
          <w:rFonts w:ascii="Arial" w:cs="Arial" w:eastAsia="Arial" w:hAnsi="Arial"/>
          <w:sz w:val="24"/>
          <w:szCs w:val="24"/>
        </w:rPr>
        <w:t xml:space="preserve">фонда</w:t>
      </w:r>
      <w:r>
        <w:rPr>
          <w:rFonts w:ascii="Arial" w:cs="Arial" w:eastAsia="Arial" w:hAnsi="Arial"/>
          <w:sz w:val="24"/>
          <w:szCs w:val="24"/>
        </w:rPr>
        <w:t xml:space="preserve">оплаты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коммунальных</w:t>
      </w:r>
      <w:r>
        <w:rPr>
          <w:rFonts w:ascii="Arial" w:cs="Arial" w:eastAsia="Arial" w:hAnsi="Arial"/>
          <w:sz w:val="24"/>
          <w:szCs w:val="24"/>
        </w:rPr>
        <w:t xml:space="preserve"> расходов)</w:t>
      </w:r>
    </w:p>
    <w:p>
      <w:pPr>
        <w:spacing w:after="120" w:before="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(в</w:t>
      </w:r>
      <w:r>
        <w:rPr>
          <w:rFonts w:ascii="Arial" w:cs="Arial" w:eastAsia="Arial" w:hAnsi="Arial"/>
          <w:sz w:val="24"/>
          <w:szCs w:val="24"/>
        </w:rPr>
        <w:t xml:space="preserve">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2236"/>
        <w:gridCol w:w="1640"/>
        <w:gridCol w:w="951"/>
        <w:gridCol w:w="951"/>
        <w:gridCol w:w="951"/>
        <w:gridCol w:w="1000"/>
        <w:gridCol w:w="1000"/>
        <w:gridCol w:w="1000"/>
      </w:tblGrid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(классов)</w:t>
            </w:r>
          </w:p>
        </w:tc>
        <w:tc>
          <w:tcPr>
            <w:tcW w:type="dxa" w:w="16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расходов</w:t>
            </w:r>
          </w:p>
        </w:tc>
        <w:tc>
          <w:tcPr>
            <w:tcW w:type="dxa" w:w="28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городах</w:t>
            </w:r>
          </w:p>
        </w:tc>
        <w:tc>
          <w:tcPr>
            <w:tcW w:type="dxa" w:w="30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ступень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ступень</w:t>
            </w:r>
          </w:p>
        </w:tc>
      </w:tr>
      <w:tr>
        <w:tc>
          <w:tcPr>
            <w:tcW w:type="dxa" w:w="4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общеобразовательные школы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учащегося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 средние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школы (общеобразовательные классы)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учащегося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3159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tvhbbnbx93b8o3-n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dalil.kg/document/230039182</w:t>
      </w:r>
    </w:hyperlink>
  </w:p>
  <w:p>
    <w:pPr>
      <w:spacing w:after="0" w:before="40"/>
      <w:jc w:val="center"/>
    </w:pPr>
    <w:hyperlink w:history="1" r:id="rIdexj2lywcytgqbjr2t19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tvhbbnbx93b8o3-nitv" Type="http://schemas.openxmlformats.org/officeDocument/2006/relationships/hyperlink" Target="https://dalil.kg/document/230039182" TargetMode="External"/><Relationship Id="rIdexj2lywcytgqbjr2t19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2026-09-25T00:35:01.009Z</dcterms:created>
  <dcterms:modified xsi:type="dcterms:W3CDTF">2026-09-25T00:35:01.009Z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