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31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передаче прав акционера открытого акционерного </w:t>
      </w:r>
      <w:r>
        <w:rPr>
          <w:rFonts w:ascii="Arial" w:cs="Arial" w:eastAsia="Arial" w:hAnsi="Arial"/>
          <w:sz w:val="24"/>
          <w:szCs w:val="24"/>
        </w:rPr>
        <w:t xml:space="preserve">общества «Государственная Страховая Организация» от 20 июня 2024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бюджетных средств и перераспределения расходов республиканского бюджета текущего года, в соответствии со статьями </w:t>
      </w:r>
      <w:hyperlink w:history="1" r:id="rIdwu0f_pmf472vsq195s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cbgjhy1-797lzwgr4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evagqa30fsuckoin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передаче прав акционера открытого акционерного общества «Государственная Страховая Организация» от 20 июня 2024 года № 325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пятом слова «1 150 000 000 (один миллиард сто пятьдесят миллионов)» заменить словами «2 650 000 000 (два миллиарда шестьсот пятьдесят миллионов)».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января 2026 года № 6 (3766)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wr9uzrczufxylnzqd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dalil.kg/document/230039433</w:t>
      </w:r>
    </w:hyperlink>
  </w:p>
  <w:p>
    <w:pPr>
      <w:spacing w:after="0" w:before="40"/>
      <w:jc w:val="center"/>
    </w:pPr>
    <w:hyperlink w:history="1" r:id="rIdencobsrz5ctsvqzeom1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0f_pmf472vsq195ssvf" Type="http://schemas.openxmlformats.org/officeDocument/2006/relationships/hyperlink" Target="https://dalil.kg/document/112301#st_13" TargetMode="External"/><Relationship Id="rId_xcbgjhy1-797lzwgr41i" Type="http://schemas.openxmlformats.org/officeDocument/2006/relationships/hyperlink" Target="https://dalil.kg/document/112301#st_17" TargetMode="External"/><Relationship Id="rIdzgevagqa30fsuckoinexw" Type="http://schemas.openxmlformats.org/officeDocument/2006/relationships/hyperlink" Target="https://dalil.kg/document/2300090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wr9uzrczufxylnzqdr_" Type="http://schemas.openxmlformats.org/officeDocument/2006/relationships/hyperlink" Target="https://dalil.kg/document/230039433" TargetMode="External"/><Relationship Id="rIdencobsrz5ctsvqzeom1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2026-09-25T23:25:27.734Z</dcterms:created>
  <dcterms:modified xsi:type="dcterms:W3CDTF">2026-09-25T23:25:27.734Z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