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передвижении кредитов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aakokyi9rlvti2do4c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115</w:t>
        </w:r>
      </w:hyperlink>
      <w:r>
        <w:rPr>
          <w:rFonts w:ascii="Arial" w:cs="Arial" w:eastAsia="Arial" w:hAnsi="Arial"/>
          <w:sz w:val="24"/>
          <w:szCs w:val="24"/>
        </w:rPr>
        <w:t xml:space="preserve"> “Общие условия внесения изменений в бюджеты” Бюджетного Кодекса Кыргызской Республики от 16.05.2016 года за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участием в проекте Всемирной продовольственной программы ООН, в рамках которого будет предоставлено современное кухонное оборудование, продовольственные крупы и растительное масло и с производственной необходимостью произвести передвижение кредитов по расходной части по статьям согласно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1"/>
        <w:gridCol w:w="1162"/>
        <w:gridCol w:w="1428"/>
        <w:gridCol w:w="1439"/>
        <w:gridCol w:w="1370"/>
        <w:gridCol w:w="1426"/>
        <w:gridCol w:w="1385"/>
        <w:gridCol w:w="1386"/>
      </w:tblGrid>
      <w:tr>
        <w:tc>
          <w:tcPr>
            <w:tcW w:type="dxa" w:w="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-1000,0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-1000,0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+1000,0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планово-бюжетную комиссию и заведующего ФЭО Г.Тулинову.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r8k5gaq02uacqkdc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dalil.kg/document/230039658</w:t>
      </w:r>
    </w:hyperlink>
  </w:p>
  <w:p>
    <w:pPr>
      <w:spacing w:after="0" w:before="40"/>
      <w:jc w:val="center"/>
    </w:pPr>
    <w:hyperlink w:history="1" r:id="rIdpfkjjfw-fbucdsmgv9i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akokyi9rlvti2do4c1f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r8k5gaq02uacqkdcdzy" Type="http://schemas.openxmlformats.org/officeDocument/2006/relationships/hyperlink" Target="https://dalil.kg/document/230039658" TargetMode="External"/><Relationship Id="rIdpfkjjfw-fbucdsmgv9i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2026-09-27T10:47:58.375Z</dcterms:created>
  <dcterms:modified xsi:type="dcterms:W3CDTF">2026-09-27T10:47:58.375Z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