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 сессия (внеочередная)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2023 года № 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свободных земельных участках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8uu9lja9_wnqfbvcs4m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с Типовым положением о порядке и условиях возмездного представления прав собственности и аренды на земельные участки, находящиеся в муниципальной собственности </w:t>
      </w:r>
      <w:hyperlink w:history="1" r:id="rIdrmh5qudgvdotsy-jqtj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23.09. 2011 года за №571</w:t>
        </w:r>
      </w:hyperlink>
      <w:r>
        <w:rPr>
          <w:rFonts w:ascii="Arial" w:cs="Arial" w:eastAsia="Arial" w:hAnsi="Arial"/>
          <w:sz w:val="24"/>
          <w:szCs w:val="24"/>
        </w:rPr>
        <w:t xml:space="preserve"> (в редакции постановления Кабинета Министров Кыргызской Республики от 25.04.2023 года №223), а также на основании протокола сессии Фрунзенского айыльного кенеша от 06 декабря 2023 года и в целях увеличения доходной части местного бюджета Фрунзенского айыл окмоту, Фрунзенский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путем прямых продаж в частную собственность свободные земельные участки категории «прочие земли» расположенные на территории Фрунзенского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Фрунзенскому айыл окмоту провести процедуру предоставления земельных участков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Фрунзенского айыл окмоту – Б.Байысбека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ktmxqfr0wxhnpltzc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dalil.kg/document/230039721</w:t>
      </w:r>
    </w:hyperlink>
  </w:p>
  <w:p>
    <w:pPr>
      <w:spacing w:after="0" w:before="40"/>
      <w:jc w:val="center"/>
    </w:pPr>
    <w:hyperlink w:history="1" r:id="rIderlfooqqxnptxkh7tes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u9lja9_wnqfbvcs4mcj" Type="http://schemas.openxmlformats.org/officeDocument/2006/relationships/hyperlink" Target="https://dalil.kg/document/8" TargetMode="External"/><Relationship Id="rIdrmh5qudgvdotsy-jqtjq7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ktmxqfr0wxhnpltzcvm" Type="http://schemas.openxmlformats.org/officeDocument/2006/relationships/hyperlink" Target="https://dalil.kg/document/230039721" TargetMode="External"/><Relationship Id="rIderlfooqqxnptxkh7tes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2026-09-28T05:07:44.470Z</dcterms:created>
  <dcterms:modified xsi:type="dcterms:W3CDTF">2026-09-28T05:07:44.470Z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