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24-январь 2025 года № 13/IV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бюджета Ак-Кудукского айыл окмоту на 2025 год и о прогнозе бюджета на 2026-2027 годы</w:t>
      </w:r>
    </w:p>
    <w:p>
      <w:pPr>
        <w:spacing w:after="120"/>
        <w:jc w:val="both"/>
      </w:pPr>
      <w:r>
        <w:rPr>
          <w:rFonts w:ascii="Arial" w:cs="Arial" w:eastAsia="Arial" w:hAnsi="Arial"/>
          <w:sz w:val="24"/>
          <w:szCs w:val="24"/>
        </w:rPr>
        <w:t xml:space="preserve">Рассмотрев на сессииутверждение бюджета на 2025 год и о прогнозе бюджета на 2026-2027 годы” Ак-Кудукского айыл окмоту в соответствии со ст.</w:t>
      </w:r>
      <w:hyperlink w:history="1" r:id="rIdgrftx1-dkjc7chxo69u4t">
        <w:r>
          <w:rPr>
            <w:rFonts w:ascii="Arial" w:cs="Arial" w:eastAsia="Arial" w:hAnsi="Arial"/>
            <w:color w:val="1D4ED8"/>
            <w:sz w:val="24"/>
            <w:szCs w:val="24"/>
            <w:u w:val="single"/>
          </w:rPr>
          <w:t xml:space="preserve">102</w:t>
        </w:r>
      </w:hyperlink>
      <w:r>
        <w:rPr>
          <w:rFonts w:ascii="Arial" w:cs="Arial" w:eastAsia="Arial" w:hAnsi="Arial"/>
          <w:sz w:val="24"/>
          <w:szCs w:val="24"/>
        </w:rPr>
        <w:t xml:space="preserve"> Бюджетного Кодекса Кыргызской Республики и на основании ст.</w:t>
      </w:r>
      <w:hyperlink w:history="1" r:id="rIdqkc_w8pptwvduiq7hlcgz">
        <w:r>
          <w:rPr>
            <w:rFonts w:ascii="Arial" w:cs="Arial" w:eastAsia="Arial" w:hAnsi="Arial"/>
            <w:color w:val="1D4ED8"/>
            <w:sz w:val="24"/>
            <w:szCs w:val="24"/>
            <w:u w:val="single"/>
          </w:rPr>
          <w:t xml:space="preserve">34</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ст.34 «Об утверждение бюджета на 2025 год и о прогнозе бюджета на 2026-2027 годы” сессия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заседании постоянной комиссии по бюджету, финансам, экономике, налогам, инвестициям и муниципальной собственности, в связи с вышеизложенным айылный кенеш Ак-Кудук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представленный финансово-экономическим отделом Ак-Кудук айыл окмоту бюджет на 2025 год:</w:t>
      </w:r>
    </w:p>
    <w:p>
      <w:pPr>
        <w:spacing w:after="120"/>
        <w:jc w:val="both"/>
      </w:pPr>
      <w:r>
        <w:rPr>
          <w:rFonts w:ascii="Arial" w:cs="Arial" w:eastAsia="Arial" w:hAnsi="Arial"/>
          <w:sz w:val="24"/>
          <w:szCs w:val="24"/>
        </w:rPr>
        <w:t xml:space="preserve">- по доходной части – 49968,0 тыс. сом. (Приложение №1)</w:t>
      </w:r>
    </w:p>
    <w:p>
      <w:pPr>
        <w:spacing w:after="120"/>
        <w:jc w:val="both"/>
      </w:pPr>
      <w:r>
        <w:rPr>
          <w:rFonts w:ascii="Arial" w:cs="Arial" w:eastAsia="Arial" w:hAnsi="Arial"/>
          <w:sz w:val="24"/>
          <w:szCs w:val="24"/>
        </w:rPr>
        <w:t xml:space="preserve">- по расходной части – 49968,0 тыс. сом. (Приложение №2)</w:t>
      </w:r>
    </w:p>
    <w:p>
      <w:pPr>
        <w:spacing w:after="120"/>
        <w:jc w:val="both"/>
      </w:pPr>
      <w:r>
        <w:rPr>
          <w:rFonts w:ascii="Arial" w:cs="Arial" w:eastAsia="Arial" w:hAnsi="Arial"/>
          <w:sz w:val="24"/>
          <w:szCs w:val="24"/>
        </w:rPr>
        <w:t xml:space="preserve">В том числе по бюджетному счету - 44326,0 тыс. сом:</w:t>
      </w:r>
    </w:p>
    <w:p>
      <w:pPr>
        <w:spacing w:after="120"/>
        <w:jc w:val="both"/>
      </w:pPr>
      <w:r>
        <w:rPr>
          <w:rFonts w:ascii="Arial" w:cs="Arial" w:eastAsia="Arial" w:hAnsi="Arial"/>
          <w:sz w:val="24"/>
          <w:szCs w:val="24"/>
        </w:rPr>
        <w:t xml:space="preserve">- аппарат – 11772,4тыс.сом.</w:t>
      </w:r>
    </w:p>
    <w:p>
      <w:pPr>
        <w:spacing w:after="120"/>
        <w:jc w:val="both"/>
      </w:pPr>
      <w:r>
        <w:rPr>
          <w:rFonts w:ascii="Arial" w:cs="Arial" w:eastAsia="Arial" w:hAnsi="Arial"/>
          <w:sz w:val="24"/>
          <w:szCs w:val="24"/>
        </w:rPr>
        <w:t xml:space="preserve">- общественный порядок – 67,0 тыс. сом.</w:t>
      </w:r>
    </w:p>
    <w:p>
      <w:pPr>
        <w:spacing w:after="120"/>
        <w:jc w:val="both"/>
      </w:pPr>
      <w:r>
        <w:rPr>
          <w:rFonts w:ascii="Arial" w:cs="Arial" w:eastAsia="Arial" w:hAnsi="Arial"/>
          <w:sz w:val="24"/>
          <w:szCs w:val="24"/>
        </w:rPr>
        <w:t xml:space="preserve">- ЖКХ – 17397,9 тыс. сом.</w:t>
      </w:r>
    </w:p>
    <w:p>
      <w:pPr>
        <w:spacing w:after="120"/>
        <w:jc w:val="both"/>
      </w:pPr>
      <w:r>
        <w:rPr>
          <w:rFonts w:ascii="Arial" w:cs="Arial" w:eastAsia="Arial" w:hAnsi="Arial"/>
          <w:sz w:val="24"/>
          <w:szCs w:val="24"/>
        </w:rPr>
        <w:t xml:space="preserve">- библиотеки – 1158,8тыс.сом.</w:t>
      </w:r>
    </w:p>
    <w:p>
      <w:pPr>
        <w:spacing w:after="120"/>
        <w:jc w:val="both"/>
      </w:pPr>
      <w:r>
        <w:rPr>
          <w:rFonts w:ascii="Arial" w:cs="Arial" w:eastAsia="Arial" w:hAnsi="Arial"/>
          <w:sz w:val="24"/>
          <w:szCs w:val="24"/>
        </w:rPr>
        <w:t xml:space="preserve">- клубы – 3070,1 тыс. сом.</w:t>
      </w:r>
    </w:p>
    <w:p>
      <w:pPr>
        <w:spacing w:after="120"/>
        <w:jc w:val="both"/>
      </w:pPr>
      <w:r>
        <w:rPr>
          <w:rFonts w:ascii="Arial" w:cs="Arial" w:eastAsia="Arial" w:hAnsi="Arial"/>
          <w:sz w:val="24"/>
          <w:szCs w:val="24"/>
        </w:rPr>
        <w:t xml:space="preserve">- детские сады – 2154,1тыс.сом.</w:t>
      </w:r>
    </w:p>
    <w:p>
      <w:pPr>
        <w:spacing w:after="120"/>
        <w:jc w:val="both"/>
      </w:pPr>
      <w:r>
        <w:rPr>
          <w:rFonts w:ascii="Arial" w:cs="Arial" w:eastAsia="Arial" w:hAnsi="Arial"/>
          <w:sz w:val="24"/>
          <w:szCs w:val="24"/>
        </w:rPr>
        <w:t xml:space="preserve">- школы – 6755,7тыс.сом.</w:t>
      </w:r>
    </w:p>
    <w:p>
      <w:pPr>
        <w:spacing w:after="120"/>
        <w:jc w:val="both"/>
      </w:pPr>
      <w:r>
        <w:rPr>
          <w:rFonts w:ascii="Arial" w:cs="Arial" w:eastAsia="Arial" w:hAnsi="Arial"/>
          <w:sz w:val="24"/>
          <w:szCs w:val="24"/>
        </w:rPr>
        <w:t xml:space="preserve">- соцобеспечение – 1950,0 тыс. сом.</w:t>
      </w:r>
    </w:p>
    <w:p>
      <w:pPr>
        <w:spacing w:after="120"/>
        <w:jc w:val="both"/>
      </w:pPr>
      <w:r>
        <w:rPr>
          <w:rFonts w:ascii="Arial" w:cs="Arial" w:eastAsia="Arial" w:hAnsi="Arial"/>
          <w:sz w:val="24"/>
          <w:szCs w:val="24"/>
        </w:rPr>
        <w:t xml:space="preserve">В том числе по специальному счету 5642,0 тыс сом</w:t>
      </w:r>
    </w:p>
    <w:p>
      <w:pPr>
        <w:spacing w:after="120"/>
        <w:jc w:val="both"/>
      </w:pPr>
      <w:r>
        <w:rPr>
          <w:rFonts w:ascii="Arial" w:cs="Arial" w:eastAsia="Arial" w:hAnsi="Arial"/>
          <w:sz w:val="24"/>
          <w:szCs w:val="24"/>
        </w:rPr>
        <w:t xml:space="preserve">-детские сады – 5642,0 тыс.сом.</w:t>
      </w:r>
    </w:p>
    <w:p>
      <w:pPr>
        <w:spacing w:after="120"/>
        <w:jc w:val="both"/>
      </w:pPr>
      <w:r>
        <w:rPr>
          <w:rFonts w:ascii="Arial" w:cs="Arial" w:eastAsia="Arial" w:hAnsi="Arial"/>
          <w:sz w:val="24"/>
          <w:szCs w:val="24"/>
        </w:rPr>
        <w:t xml:space="preserve">2. Установить, что расходы, недофинансированные в 2024 году, компенсируются только за счет и в пределах ассигнований, предусмотренных бюджетом на 2025 год.</w:t>
      </w:r>
    </w:p>
    <w:p>
      <w:pPr>
        <w:spacing w:after="120"/>
        <w:jc w:val="both"/>
      </w:pPr>
      <w:r>
        <w:rPr>
          <w:rFonts w:ascii="Arial" w:cs="Arial" w:eastAsia="Arial" w:hAnsi="Arial"/>
          <w:sz w:val="24"/>
          <w:szCs w:val="24"/>
        </w:rPr>
        <w:t xml:space="preserve">3. 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4.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5.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Кабинетом Министров Кыргызской Республики по решению социальных вопросов, а именно на реализацию национальных и государственных программ, постановлений Кабинета Министров,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6. В целях повышения благосостояния малоимущих семей, по мере поступления заявлений и по данным обследования жилищно-бытовых условий, оказывать материальную помощь в размере от 000 сом до 5000 сом.</w:t>
      </w:r>
    </w:p>
    <w:p>
      <w:pPr>
        <w:spacing w:after="120"/>
        <w:jc w:val="both"/>
      </w:pPr>
      <w:r>
        <w:rPr>
          <w:rFonts w:ascii="Arial" w:cs="Arial" w:eastAsia="Arial" w:hAnsi="Arial"/>
          <w:sz w:val="24"/>
          <w:szCs w:val="24"/>
        </w:rPr>
        <w:t xml:space="preserve">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7. Установить нормативы на питание в день за счет родительских</w:t>
      </w:r>
    </w:p>
    <w:p>
      <w:pPr>
        <w:spacing w:after="120"/>
        <w:jc w:val="both"/>
      </w:pPr>
      <w:r>
        <w:rPr>
          <w:rFonts w:ascii="Arial" w:cs="Arial" w:eastAsia="Arial" w:hAnsi="Arial"/>
          <w:sz w:val="24"/>
          <w:szCs w:val="24"/>
        </w:rPr>
        <w:t xml:space="preserve">взносов дошкольным образовательным организациям по 85сомов в день.</w:t>
      </w:r>
    </w:p>
    <w:p>
      <w:pPr>
        <w:spacing w:after="120"/>
        <w:jc w:val="both"/>
      </w:pPr>
      <w:r>
        <w:rPr>
          <w:rFonts w:ascii="Arial" w:cs="Arial" w:eastAsia="Arial" w:hAnsi="Arial"/>
          <w:sz w:val="24"/>
          <w:szCs w:val="24"/>
        </w:rPr>
        <w:t xml:space="preserve">8. Одобрить прогноз 2026 года по доходам и расходам в сумме 51977,2тыс. сом, 2027 год по доходам и расходам в сумме 54509,2тыс. сом.</w:t>
      </w:r>
    </w:p>
    <w:p>
      <w:pPr>
        <w:spacing w:after="120"/>
        <w:jc w:val="both"/>
      </w:pPr>
      <w:r>
        <w:rPr>
          <w:rFonts w:ascii="Arial" w:cs="Arial" w:eastAsia="Arial" w:hAnsi="Arial"/>
          <w:sz w:val="24"/>
          <w:szCs w:val="24"/>
        </w:rPr>
        <w:t xml:space="preserve">9. Утвердить оборотную кассовую наличность в сумме - 100,0 тыс. сом.</w:t>
      </w:r>
    </w:p>
    <w:p>
      <w:pPr>
        <w:spacing w:after="120"/>
        <w:jc w:val="both"/>
      </w:pPr>
      <w:r>
        <w:rPr>
          <w:rFonts w:ascii="Arial" w:cs="Arial" w:eastAsia="Arial" w:hAnsi="Arial"/>
          <w:sz w:val="24"/>
          <w:szCs w:val="24"/>
        </w:rPr>
        <w:t xml:space="preserve">10. 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11. Утвердить штатное расписание, согласно приложению №3-6.</w:t>
      </w:r>
    </w:p>
    <w:p>
      <w:pPr>
        <w:spacing w:after="120"/>
        <w:jc w:val="both"/>
      </w:pPr>
      <w:r>
        <w:rPr>
          <w:rFonts w:ascii="Arial" w:cs="Arial" w:eastAsia="Arial" w:hAnsi="Arial"/>
          <w:sz w:val="24"/>
          <w:szCs w:val="24"/>
        </w:rPr>
        <w:t xml:space="preserve">12. Утвердить ежемесячные надбавки стимулирующего характера:</w:t>
      </w:r>
    </w:p>
    <w:p>
      <w:pPr>
        <w:spacing w:after="120"/>
        <w:jc w:val="both"/>
      </w:pPr>
      <w:r>
        <w:rPr>
          <w:rFonts w:ascii="Arial" w:cs="Arial" w:eastAsia="Arial" w:hAnsi="Arial"/>
          <w:sz w:val="24"/>
          <w:szCs w:val="24"/>
        </w:rPr>
        <w:t xml:space="preserve">- по Разделу Аппарат Управления 1шт.ед ТОП – 7,0 тыс.сом;</w:t>
      </w:r>
    </w:p>
    <w:p>
      <w:pPr>
        <w:spacing w:after="120"/>
        <w:jc w:val="both"/>
      </w:pPr>
      <w:r>
        <w:rPr>
          <w:rFonts w:ascii="Arial" w:cs="Arial" w:eastAsia="Arial" w:hAnsi="Arial"/>
          <w:sz w:val="24"/>
          <w:szCs w:val="24"/>
        </w:rPr>
        <w:t xml:space="preserve">- по Разделу ЖКХ 5 шт.ед ТОП и МОП – 7,5 тыс.сом;</w:t>
      </w:r>
    </w:p>
    <w:p>
      <w:pPr>
        <w:spacing w:after="120"/>
        <w:jc w:val="both"/>
      </w:pPr>
      <w:r>
        <w:rPr>
          <w:rFonts w:ascii="Arial" w:cs="Arial" w:eastAsia="Arial" w:hAnsi="Arial"/>
          <w:sz w:val="24"/>
          <w:szCs w:val="24"/>
        </w:rPr>
        <w:t xml:space="preserve">13. Утвердить план закупок на 2025 год.</w:t>
      </w:r>
    </w:p>
    <w:p>
      <w:pPr>
        <w:spacing w:after="120"/>
        <w:jc w:val="both"/>
      </w:pPr>
      <w:r>
        <w:rPr>
          <w:rFonts w:ascii="Arial" w:cs="Arial" w:eastAsia="Arial" w:hAnsi="Arial"/>
          <w:sz w:val="24"/>
          <w:szCs w:val="24"/>
        </w:rPr>
        <w:t xml:space="preserve">14. Соофинансирование МП «Ак-Кудук» для оплаты за потребление электроэнергии насосных станций для подачи питьевой воды производить из средств местного бюджета 2025 года.</w:t>
      </w:r>
    </w:p>
    <w:p>
      <w:pPr>
        <w:spacing w:after="120"/>
        <w:jc w:val="both"/>
      </w:pPr>
      <w:r>
        <w:rPr>
          <w:rFonts w:ascii="Arial" w:cs="Arial" w:eastAsia="Arial" w:hAnsi="Arial"/>
          <w:sz w:val="24"/>
          <w:szCs w:val="24"/>
        </w:rPr>
        <w:t xml:space="preserve">15. Предусмотреть субсидию для МП “Ак-Кудук” 1000,0 тыс.сом</w:t>
      </w:r>
    </w:p>
    <w:p>
      <w:pPr>
        <w:spacing w:after="120"/>
        <w:jc w:val="both"/>
      </w:pPr>
      <w:r>
        <w:rPr>
          <w:rFonts w:ascii="Arial" w:cs="Arial" w:eastAsia="Arial" w:hAnsi="Arial"/>
          <w:sz w:val="24"/>
          <w:szCs w:val="24"/>
        </w:rPr>
        <w:t xml:space="preserve">16. Контроль за выполнением настоящего постановления возложить на финансово-экономический отдел айыл окмоту и постоянную комиссию по бюджету, финансам, экономике, налогам, инвестициям и муниципальной собственности Ак-Кудукского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Дж.Маванкуй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xuzmtorwbeujasybura">
      <w:r>
        <w:rPr>
          <w:rFonts w:ascii="Arial" w:cs="Arial" w:eastAsia="Arial" w:hAnsi="Arial"/>
          <w:color w:val="132D3F"/>
          <w:sz w:val="16"/>
          <w:szCs w:val="16"/>
          <w:u w:val="single"/>
        </w:rPr>
        <w:t xml:space="preserve">dalil.kg/document/230040340</w:t>
      </w:r>
    </w:hyperlink>
  </w:p>
  <w:p>
    <w:pPr>
      <w:spacing w:after="0" w:before="40"/>
      <w:jc w:val="center"/>
    </w:pPr>
    <w:hyperlink w:history="1" r:id="rIdfqk-sy8j7dxehijmtsr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rftx1-dkjc7chxo69u4t" Type="http://schemas.openxmlformats.org/officeDocument/2006/relationships/hyperlink" Target="https://dalil.kg/document/111338#st_102" TargetMode="External"/><Relationship Id="rIdqkc_w8pptwvduiq7hlcgz"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xuzmtorwbeujasybura" Type="http://schemas.openxmlformats.org/officeDocument/2006/relationships/hyperlink" Target="https://dalil.kg/document/230040340" TargetMode="External"/><Relationship Id="rIdfqk-sy8j7dxehijmtsr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2026-09-27T13:45:26.338Z</dcterms:created>
  <dcterms:modified xsi:type="dcterms:W3CDTF">2026-09-27T13:45:26.338Z</dcterms:modified>
</cp:coreProperties>
</file>

<file path=docProps/custom.xml><?xml version="1.0" encoding="utf-8"?>
<Properties xmlns="http://schemas.openxmlformats.org/officeDocument/2006/custom-properties" xmlns:vt="http://schemas.openxmlformats.org/officeDocument/2006/docPropsVTypes"/>
</file>