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24-январь 2025 года № 18/IV 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регламента айылного кенеша Ак-Кудук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vtsjgyc8eks-t258z6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ст.34</w:t>
        </w:r>
      </w:hyperlink>
      <w:r>
        <w:rPr>
          <w:rFonts w:ascii="Arial" w:cs="Arial" w:eastAsia="Arial" w:hAnsi="Arial"/>
          <w:sz w:val="24"/>
          <w:szCs w:val="24"/>
        </w:rPr>
        <w:t xml:space="preserve"> п.9 Закона Кыргызской Республики “О местной государственной администрации и органах местного самоуправления”, руководствуясь законами Кыргызской Республики “</w:t>
      </w:r>
      <w:hyperlink w:history="1" r:id="rIdwzvdprdkqnsle1nx4em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”,”</w:t>
      </w:r>
      <w:hyperlink w:history="1" r:id="rIdubwm3ib7rijiftj3_xc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нормативно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“ айылный кенеш Ак-Кудук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регламент работы айылного кенеша Ак-Кудук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(Приложение в Министерстве юстиции Кыргызской Республики в твердом варианте)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Работу айылного кенеша Ак-Кудук проводить согласно утвержденного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Дж.Маванкуй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bky6csv6qbqze5cja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dalil.kg/document/230040387</w:t>
      </w:r>
    </w:hyperlink>
  </w:p>
  <w:p>
    <w:pPr>
      <w:spacing w:after="0" w:before="40"/>
      <w:jc w:val="center"/>
    </w:pPr>
    <w:hyperlink w:history="1" r:id="rIdpj4micyhiagww5we44m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tsjgyc8eks-t258z6ae" Type="http://schemas.openxmlformats.org/officeDocument/2006/relationships/hyperlink" Target="https://dalil.kg/document/112302#st_34" TargetMode="External"/><Relationship Id="rIdwzvdprdkqnsle1nx4emea" Type="http://schemas.openxmlformats.org/officeDocument/2006/relationships/hyperlink" Target="https://dalil.kg/document/311" TargetMode="External"/><Relationship Id="rIdubwm3ib7rijiftj3_xc_g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bky6csv6qbqze5cjagg" Type="http://schemas.openxmlformats.org/officeDocument/2006/relationships/hyperlink" Target="https://dalil.kg/document/230040387" TargetMode="External"/><Relationship Id="rIdpj4micyhiagww5we44mr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2026-09-27T13:45:25.845Z</dcterms:created>
  <dcterms:modified xsi:type="dcterms:W3CDTF">2026-09-27T13:45:25.845Z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