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hxovt7zexcuohsjojyfde">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21 января 2026 года №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распределения и учета объемов тарифных квот между участниками внешнеторговой деятельности на ввоз в Кыргызскую Республику отдельных видов мяса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распределения и учета объемов тарифных квот между участниками внешнеторговой деятельности на ввоз в Кыргызскую Республику отдельных видов мяса (далее - Правила) определяют порядок и метод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b/>
          <w:bCs/>
          <w:sz w:val="24"/>
          <w:szCs w:val="24"/>
        </w:rPr>
        <w:t xml:space="preserve">государственный оператор</w:t>
      </w:r>
      <w:r>
        <w:rPr>
          <w:rFonts w:ascii="Arial" w:cs="Arial" w:eastAsia="Arial" w:hAnsi="Arial"/>
          <w:sz w:val="24"/>
          <w:szCs w:val="24"/>
        </w:rPr>
        <w:t xml:space="preserve"> - открытое акционерное общество "Кыргыз Агрохолдинг", являющееся юридическим лицом со сто процентной государственной долей, осуществляющим деятельность в сфере агропромышленного комплекса Кыргызской Республики;</w:t>
      </w:r>
    </w:p>
    <w:p>
      <w:pPr>
        <w:spacing w:after="120"/>
        <w:ind w:firstLine="567"/>
        <w:jc w:val="both"/>
      </w:pPr>
      <w:r>
        <w:rPr>
          <w:rFonts w:ascii="Arial" w:cs="Arial" w:eastAsia="Arial" w:hAnsi="Arial"/>
          <w:b/>
          <w:bCs/>
          <w:sz w:val="24"/>
          <w:szCs w:val="24"/>
        </w:rPr>
        <w:t xml:space="preserve">исторический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и соответствующее следующим критериям:</w:t>
      </w:r>
    </w:p>
    <w:p>
      <w:pPr>
        <w:spacing w:after="120"/>
        <w:ind w:firstLine="567"/>
        <w:jc w:val="both"/>
      </w:pPr>
      <w:r>
        <w:rPr>
          <w:rFonts w:ascii="Arial" w:cs="Arial" w:eastAsia="Arial" w:hAnsi="Arial"/>
          <w:sz w:val="24"/>
          <w:szCs w:val="24"/>
        </w:rPr>
        <w:t xml:space="preserve">- осуществляет ввоз товара в предшествующий период или в течение года, непосредственно предшествующего году, в котором установлена тарифная квота, из стран-поставщиков в таможенной процедуре "выпуск для внутреннего потребления" и в таможенном режиме "выпуск для свободного обращения";</w:t>
      </w:r>
    </w:p>
    <w:p>
      <w:pPr>
        <w:spacing w:after="120"/>
        <w:ind w:firstLine="567"/>
        <w:jc w:val="both"/>
      </w:pPr>
      <w:r>
        <w:rPr>
          <w:rFonts w:ascii="Arial" w:cs="Arial" w:eastAsia="Arial" w:hAnsi="Arial"/>
          <w:sz w:val="24"/>
          <w:szCs w:val="24"/>
        </w:rPr>
        <w:t xml:space="preserve">- объем ввоза товара в течение года, непосредственно предшествующего году, в котором установлена тарифная квота, не должен быть меньше коммерчески выгодного количества;</w:t>
      </w:r>
    </w:p>
    <w:p>
      <w:pPr>
        <w:spacing w:after="120"/>
        <w:ind w:firstLine="567"/>
        <w:jc w:val="both"/>
      </w:pPr>
      <w:r>
        <w:rPr>
          <w:rFonts w:ascii="Arial" w:cs="Arial" w:eastAsia="Arial" w:hAnsi="Arial"/>
          <w:b/>
          <w:bCs/>
          <w:sz w:val="24"/>
          <w:szCs w:val="24"/>
        </w:rPr>
        <w:t xml:space="preserve">новый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не являющееся историческим поставщиком товара;</w:t>
      </w:r>
    </w:p>
    <w:p>
      <w:pPr>
        <w:spacing w:after="120"/>
        <w:ind w:firstLine="567"/>
        <w:jc w:val="both"/>
      </w:pPr>
      <w:r>
        <w:rPr>
          <w:rFonts w:ascii="Arial" w:cs="Arial" w:eastAsia="Arial" w:hAnsi="Arial"/>
          <w:b/>
          <w:bCs/>
          <w:sz w:val="24"/>
          <w:szCs w:val="24"/>
        </w:rPr>
        <w:t xml:space="preserve">страны-поставщики</w:t>
      </w:r>
      <w:r>
        <w:rPr>
          <w:rFonts w:ascii="Arial" w:cs="Arial" w:eastAsia="Arial" w:hAnsi="Arial"/>
          <w:sz w:val="24"/>
          <w:szCs w:val="24"/>
        </w:rPr>
        <w:t xml:space="preserve"> - страны, с которыми у стран-участников Евразийского экономического союза (далее - ЕАЭС) не заключены соглашения о свободной торговле, либо существуют изъятия из режима свободной торговли в отношении товара;</w:t>
      </w:r>
    </w:p>
    <w:p>
      <w:pPr>
        <w:spacing w:after="120"/>
        <w:ind w:firstLine="567"/>
        <w:jc w:val="both"/>
      </w:pPr>
      <w:r>
        <w:rPr>
          <w:rFonts w:ascii="Arial" w:cs="Arial" w:eastAsia="Arial" w:hAnsi="Arial"/>
          <w:b/>
          <w:bCs/>
          <w:sz w:val="24"/>
          <w:szCs w:val="24"/>
        </w:rPr>
        <w:t xml:space="preserve">объем ввоза товара историческим поставщиком</w:t>
      </w:r>
      <w:r>
        <w:rPr>
          <w:rFonts w:ascii="Arial" w:cs="Arial" w:eastAsia="Arial" w:hAnsi="Arial"/>
          <w:sz w:val="24"/>
          <w:szCs w:val="24"/>
        </w:rPr>
        <w:t xml:space="preserve"> - количество товаров в натуральном выражении, происходящих из стран-поставщиков, ввезенных на территорию Кыргызской Республики в таможенной процедуре "выпуск для внутреннего потребления" и в таможенном режиме "выпуск для свободного обращения" за предшествующий период;</w:t>
      </w:r>
    </w:p>
    <w:p>
      <w:pPr>
        <w:spacing w:after="120"/>
        <w:ind w:firstLine="567"/>
        <w:jc w:val="both"/>
      </w:pPr>
      <w:r>
        <w:rPr>
          <w:rFonts w:ascii="Arial" w:cs="Arial" w:eastAsia="Arial" w:hAnsi="Arial"/>
          <w:b/>
          <w:bCs/>
          <w:sz w:val="24"/>
          <w:szCs w:val="24"/>
        </w:rPr>
        <w:t xml:space="preserve">тарифная квота</w:t>
      </w:r>
      <w:r>
        <w:rPr>
          <w:rFonts w:ascii="Arial" w:cs="Arial" w:eastAsia="Arial" w:hAnsi="Arial"/>
          <w:sz w:val="24"/>
          <w:szCs w:val="24"/>
        </w:rPr>
        <w:t xml:space="preserve"> - мера регулирования ввоза на таможенную территорию ЕАЭС отдельных видов сельскохозяйственных товаров, происходящих из третьих стран, предусматривающая применение дифференцированных ставок ввозных таможенных пошлин Единого таможенного тарифа (далее - ЕТТ) ЕАЭС в отношении товаров, ввозимых в пределах установленного количества (в натуральном или стоимостном выражении) в течение определенного периода и сверх такого количества;</w:t>
      </w:r>
    </w:p>
    <w:p>
      <w:pPr>
        <w:spacing w:after="120"/>
        <w:ind w:firstLine="567"/>
        <w:jc w:val="both"/>
      </w:pPr>
      <w:r>
        <w:rPr>
          <w:rFonts w:ascii="Arial" w:cs="Arial" w:eastAsia="Arial" w:hAnsi="Arial"/>
          <w:b/>
          <w:bCs/>
          <w:sz w:val="24"/>
          <w:szCs w:val="24"/>
        </w:rPr>
        <w:t xml:space="preserve">объем тарифной квоты</w:t>
      </w:r>
      <w:r>
        <w:rPr>
          <w:rFonts w:ascii="Arial" w:cs="Arial" w:eastAsia="Arial" w:hAnsi="Arial"/>
          <w:sz w:val="24"/>
          <w:szCs w:val="24"/>
        </w:rPr>
        <w:t xml:space="preserve"> - количество мяса в натуральном или стоимостном выражении, выделяемое для ввоза в рамках тарифной квоты, установленной решением Евразийской экономической комиссии;</w:t>
      </w:r>
    </w:p>
    <w:p>
      <w:pPr>
        <w:spacing w:after="12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отдельные виды мяса, в отношении которых установлена тарифная квота, происходящие из стран-поставщиков;</w:t>
      </w:r>
    </w:p>
    <w:p>
      <w:pPr>
        <w:spacing w:after="120"/>
        <w:ind w:firstLine="567"/>
        <w:jc w:val="both"/>
      </w:pPr>
      <w:r>
        <w:rPr>
          <w:rFonts w:ascii="Arial" w:cs="Arial" w:eastAsia="Arial" w:hAnsi="Arial"/>
          <w:b/>
          <w:bCs/>
          <w:sz w:val="24"/>
          <w:szCs w:val="24"/>
        </w:rPr>
        <w:t xml:space="preserve">коммерчески выгодное количество</w:t>
      </w:r>
      <w:r>
        <w:rPr>
          <w:rFonts w:ascii="Arial" w:cs="Arial" w:eastAsia="Arial" w:hAnsi="Arial"/>
          <w:sz w:val="24"/>
          <w:szCs w:val="24"/>
        </w:rPr>
        <w:t xml:space="preserve"> - объем товара весом более 25 кг;</w:t>
      </w:r>
    </w:p>
    <w:p>
      <w:pPr>
        <w:spacing w:after="120"/>
        <w:ind w:firstLine="567"/>
        <w:jc w:val="both"/>
      </w:pPr>
      <w:r>
        <w:rPr>
          <w:rFonts w:ascii="Arial" w:cs="Arial" w:eastAsia="Arial" w:hAnsi="Arial"/>
          <w:b/>
          <w:bCs/>
          <w:sz w:val="24"/>
          <w:szCs w:val="24"/>
        </w:rPr>
        <w:t xml:space="preserve">предшествующий период</w:t>
      </w:r>
      <w:r>
        <w:rPr>
          <w:rFonts w:ascii="Arial" w:cs="Arial" w:eastAsia="Arial" w:hAnsi="Arial"/>
          <w:sz w:val="24"/>
          <w:szCs w:val="24"/>
        </w:rPr>
        <w:t xml:space="preserve"> - три года, непосредственно предшествующие году установления тарифной квоты.</w:t>
      </w:r>
    </w:p>
    <w:p>
      <w:pPr>
        <w:spacing w:after="240" w:before="200"/>
        <w:jc w:val="center"/>
      </w:pPr>
      <w:r>
        <w:rPr>
          <w:rFonts w:ascii="Arial" w:cs="Arial" w:eastAsia="Arial" w:hAnsi="Arial"/>
          <w:b/>
          <w:bCs/>
          <w:sz w:val="32"/>
          <w:szCs w:val="32"/>
        </w:rPr>
        <w:t xml:space="preserve">Глава 2. Порядок распределения объемов тарифных квот</w:t>
      </w:r>
    </w:p>
    <w:p>
      <w:pPr>
        <w:spacing w:after="120"/>
        <w:ind w:firstLine="567"/>
        <w:jc w:val="both"/>
      </w:pPr>
      <w:r>
        <w:rPr>
          <w:rFonts w:ascii="Arial" w:cs="Arial" w:eastAsia="Arial" w:hAnsi="Arial"/>
          <w:sz w:val="24"/>
          <w:szCs w:val="24"/>
        </w:rPr>
        <w:t xml:space="preserve">3. Уполномоченный орган в области развития агропромышленного комплекса ежегодно до 10 ноября года, непосредственно предшествующему году установления тарифных квот, размещает в интернет-ресурсе информацию о наименовании товара, в отношении которого устанавливается тарифная квота, об объеме тарифной квоты, определенной для поставщиков мяса, с указанием контактных данных для обеспечения дачи разъяснений по тарифным квотам.</w:t>
      </w:r>
    </w:p>
    <w:p>
      <w:pPr>
        <w:spacing w:after="120"/>
        <w:ind w:firstLine="567"/>
        <w:jc w:val="both"/>
      </w:pPr>
      <w:r>
        <w:rPr>
          <w:rFonts w:ascii="Arial" w:cs="Arial" w:eastAsia="Arial" w:hAnsi="Arial"/>
          <w:sz w:val="24"/>
          <w:szCs w:val="24"/>
        </w:rPr>
        <w:t xml:space="preserve">Распределение объемов тарифных квот между государственным оператором,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государственным оператором, историческими поставщиками и новыми поставщиками, определенными настоящими Правилами.</w:t>
      </w:r>
    </w:p>
    <w:p>
      <w:pPr>
        <w:spacing w:after="120"/>
        <w:ind w:firstLine="567"/>
        <w:jc w:val="both"/>
      </w:pPr>
      <w:r>
        <w:rPr>
          <w:rFonts w:ascii="Arial" w:cs="Arial" w:eastAsia="Arial" w:hAnsi="Arial"/>
          <w:sz w:val="24"/>
          <w:szCs w:val="24"/>
        </w:rPr>
        <w:t xml:space="preserve">4. Уполномоченный орган в сфере таможенного дела ежеквартально не позднее 15 числа месяца, следующего за отчетным кварталом, представляет в уполномоченный орган в области развития агропромышленного комплекса информацию о натуральных и стоимостных объемах ввоза мяса в разрезе участников внешнеторговой деятельности, стран происхождения, с указанием таможенных процедур, на уровне 10 знаков Товарной номенклатуры внешнеторговой деятельности ЕАЭС (далее - ТН ВЭД ЕАЭС), классифицируемой в позициях 0202, 0203, 0207.</w:t>
      </w:r>
    </w:p>
    <w:p>
      <w:pPr>
        <w:spacing w:after="120"/>
        <w:ind w:firstLine="567"/>
        <w:jc w:val="both"/>
      </w:pPr>
      <w:r>
        <w:rPr>
          <w:rFonts w:ascii="Arial" w:cs="Arial" w:eastAsia="Arial" w:hAnsi="Arial"/>
          <w:sz w:val="24"/>
          <w:szCs w:val="24"/>
        </w:rPr>
        <w:t xml:space="preserve">Указанная информация формируется по дате выпуска товара для внутреннего потребления.</w:t>
      </w:r>
    </w:p>
    <w:p>
      <w:pPr>
        <w:spacing w:after="120"/>
        <w:ind w:firstLine="567"/>
        <w:jc w:val="both"/>
      </w:pPr>
      <w:r>
        <w:rPr>
          <w:rFonts w:ascii="Arial" w:cs="Arial" w:eastAsia="Arial" w:hAnsi="Arial"/>
          <w:sz w:val="24"/>
          <w:szCs w:val="24"/>
        </w:rPr>
        <w:t xml:space="preserve">5. Уполномоченный орган в области развития агропромышленного комплекса ежегодно, с 1 января до 31 декабря года, в котором установлена тарифная квота, осуществляет распределение ежегодно установленных объемов тарифных квот между государственным оператором, историческими поставщиками и новыми поставщиками:</w:t>
      </w:r>
    </w:p>
    <w:p>
      <w:pPr>
        <w:spacing w:after="120"/>
        <w:ind w:firstLine="567"/>
        <w:jc w:val="both"/>
      </w:pPr>
      <w:r>
        <w:rPr>
          <w:rFonts w:ascii="Arial" w:cs="Arial" w:eastAsia="Arial" w:hAnsi="Arial"/>
          <w:sz w:val="24"/>
          <w:szCs w:val="24"/>
        </w:rPr>
        <w:t xml:space="preserve">1) государственному оператору:</w:t>
      </w:r>
    </w:p>
    <w:p>
      <w:pPr>
        <w:spacing w:after="12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мяса птицы (код ТН ВЭД ЕАЭС 0207);</w:t>
      </w:r>
    </w:p>
    <w:p>
      <w:pPr>
        <w:spacing w:after="120"/>
        <w:ind w:firstLine="567"/>
        <w:jc w:val="both"/>
      </w:pPr>
      <w:r>
        <w:rPr>
          <w:rFonts w:ascii="Arial" w:cs="Arial" w:eastAsia="Arial" w:hAnsi="Arial"/>
          <w:sz w:val="24"/>
          <w:szCs w:val="24"/>
        </w:rPr>
        <w:t xml:space="preserve">2) историческим поставщикам:</w:t>
      </w:r>
    </w:p>
    <w:p>
      <w:pPr>
        <w:spacing w:after="120"/>
        <w:ind w:firstLine="567"/>
        <w:jc w:val="both"/>
      </w:pPr>
      <w:r>
        <w:rPr>
          <w:rFonts w:ascii="Arial" w:cs="Arial" w:eastAsia="Arial" w:hAnsi="Arial"/>
          <w:sz w:val="24"/>
          <w:szCs w:val="24"/>
        </w:rPr>
        <w:t xml:space="preserve">- 30%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свинины (код ТН ВЭД ЕАЭС 0203);</w:t>
      </w:r>
    </w:p>
    <w:p>
      <w:pPr>
        <w:spacing w:after="120"/>
        <w:ind w:firstLine="567"/>
        <w:jc w:val="both"/>
      </w:pPr>
      <w:r>
        <w:rPr>
          <w:rFonts w:ascii="Arial" w:cs="Arial" w:eastAsia="Arial" w:hAnsi="Arial"/>
          <w:sz w:val="24"/>
          <w:szCs w:val="24"/>
        </w:rPr>
        <w:t xml:space="preserve">- 30% - мяса птицы (код ТН ВЭД ЕАЭС 0207);</w:t>
      </w:r>
    </w:p>
    <w:p>
      <w:pPr>
        <w:spacing w:after="120"/>
        <w:ind w:firstLine="567"/>
        <w:jc w:val="both"/>
      </w:pPr>
      <w:r>
        <w:rPr>
          <w:rFonts w:ascii="Arial" w:cs="Arial" w:eastAsia="Arial" w:hAnsi="Arial"/>
          <w:sz w:val="24"/>
          <w:szCs w:val="24"/>
        </w:rPr>
        <w:t xml:space="preserve">3) новым поставщикам:</w:t>
      </w:r>
    </w:p>
    <w:p>
      <w:pPr>
        <w:spacing w:after="120"/>
        <w:ind w:firstLine="567"/>
        <w:jc w:val="both"/>
      </w:pPr>
      <w:r>
        <w:rPr>
          <w:rFonts w:ascii="Arial" w:cs="Arial" w:eastAsia="Arial" w:hAnsi="Arial"/>
          <w:sz w:val="24"/>
          <w:szCs w:val="24"/>
        </w:rPr>
        <w:t xml:space="preserve">- 20%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свинины (код ТН ВЭД ЕАЭС 0203);</w:t>
      </w:r>
    </w:p>
    <w:p>
      <w:pPr>
        <w:spacing w:after="120"/>
        <w:ind w:firstLine="567"/>
        <w:jc w:val="both"/>
      </w:pPr>
      <w:r>
        <w:rPr>
          <w:rFonts w:ascii="Arial" w:cs="Arial" w:eastAsia="Arial" w:hAnsi="Arial"/>
          <w:sz w:val="24"/>
          <w:szCs w:val="24"/>
        </w:rPr>
        <w:t xml:space="preserve">- 20% - мяса птицы (код ТН ВЭД ЕАЭС 0207).</w:t>
      </w:r>
    </w:p>
    <w:p>
      <w:pPr>
        <w:spacing w:after="120"/>
        <w:ind w:firstLine="567"/>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120"/>
        <w:ind w:firstLine="567"/>
        <w:jc w:val="both"/>
      </w:pPr>
      <w:r>
        <w:rPr>
          <w:rFonts w:ascii="Arial" w:cs="Arial" w:eastAsia="Arial" w:hAnsi="Arial"/>
          <w:sz w:val="24"/>
          <w:szCs w:val="24"/>
        </w:rPr>
        <w:t xml:space="preserve">7. Распределение объемов тарифных квот между поставщиками мяса осуществляется на основании заявки на выделение квоты на импорт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120"/>
        <w:ind w:firstLine="567"/>
        <w:jc w:val="both"/>
      </w:pPr>
      <w:r>
        <w:rPr>
          <w:rFonts w:ascii="Arial" w:cs="Arial" w:eastAsia="Arial" w:hAnsi="Arial"/>
          <w:sz w:val="24"/>
          <w:szCs w:val="24"/>
        </w:rPr>
        <w:t xml:space="preserve">- официальное письмо заявителя;</w:t>
      </w:r>
    </w:p>
    <w:p>
      <w:pPr>
        <w:spacing w:after="12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120"/>
        <w:ind w:firstLine="567"/>
        <w:jc w:val="both"/>
      </w:pPr>
      <w:r>
        <w:rPr>
          <w:rFonts w:ascii="Arial" w:cs="Arial" w:eastAsia="Arial" w:hAnsi="Arial"/>
          <w:sz w:val="24"/>
          <w:szCs w:val="24"/>
        </w:rPr>
        <w:t xml:space="preserve">- копия внешнеторгового договора, с обязательным переводом на русский язык и наличием реквизитов (номер и дата составления договора) приложения;</w:t>
      </w:r>
    </w:p>
    <w:p>
      <w:pPr>
        <w:spacing w:after="120"/>
        <w:ind w:firstLine="567"/>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ind w:firstLine="567"/>
        <w:jc w:val="both"/>
      </w:pPr>
      <w:r>
        <w:rPr>
          <w:rFonts w:ascii="Arial" w:cs="Arial" w:eastAsia="Arial" w:hAnsi="Arial"/>
          <w:sz w:val="24"/>
          <w:szCs w:val="24"/>
        </w:rPr>
        <w:t xml:space="preserve">- выписка из реестра учреждений ветеринарной службы (копии).</w:t>
      </w:r>
    </w:p>
    <w:p>
      <w:pPr>
        <w:spacing w:after="120"/>
        <w:ind w:firstLine="567"/>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 (далее - комиссия).</w:t>
      </w:r>
    </w:p>
    <w:p>
      <w:pPr>
        <w:spacing w:after="120"/>
        <w:ind w:firstLine="567"/>
        <w:jc w:val="both"/>
      </w:pPr>
      <w:r>
        <w:rPr>
          <w:rFonts w:ascii="Arial" w:cs="Arial" w:eastAsia="Arial" w:hAnsi="Arial"/>
          <w:sz w:val="24"/>
          <w:szCs w:val="24"/>
        </w:rPr>
        <w:t xml:space="preserve">Комиссия имеет право отказать в предоставлении квот, а также отозвать выделенную квоту для поставщиков мяса за исключением государственного оператора, в следующих случаях:</w:t>
      </w:r>
    </w:p>
    <w:p>
      <w:pPr>
        <w:spacing w:after="120"/>
        <w:ind w:firstLine="567"/>
        <w:jc w:val="both"/>
      </w:pPr>
      <w:r>
        <w:rPr>
          <w:rFonts w:ascii="Arial" w:cs="Arial" w:eastAsia="Arial" w:hAnsi="Arial"/>
          <w:sz w:val="24"/>
          <w:szCs w:val="24"/>
        </w:rPr>
        <w:t xml:space="preserve">- предприятие уклонялось от выполнения налоговых и страховых обязательств за последние два года, в том числе по ранее поставленному мясу либо не имела справку об отсутствии/наличии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 предприятия с одним и тем же учредителем подали заявку на получение квоты (только одно предприятие с одним и тем же учредителем имеет право участвовать в получении квот в целях справедливого распределения квот);</w:t>
      </w:r>
    </w:p>
    <w:p>
      <w:pPr>
        <w:spacing w:after="120"/>
        <w:ind w:firstLine="567"/>
        <w:jc w:val="both"/>
      </w:pPr>
      <w:r>
        <w:rPr>
          <w:rFonts w:ascii="Arial" w:cs="Arial" w:eastAsia="Arial" w:hAnsi="Arial"/>
          <w:sz w:val="24"/>
          <w:szCs w:val="24"/>
        </w:rPr>
        <w:t xml:space="preserve">- предприятие перепродало полученную квоту другому предприятию, либо осуществляло мошеннические операции (по результатам проверок со стороны правоохранительных или иных государственных органов).</w:t>
      </w:r>
    </w:p>
    <w:p>
      <w:pPr>
        <w:spacing w:after="120"/>
        <w:ind w:firstLine="567"/>
        <w:jc w:val="both"/>
      </w:pPr>
      <w:r>
        <w:rPr>
          <w:rFonts w:ascii="Arial" w:cs="Arial" w:eastAsia="Arial" w:hAnsi="Arial"/>
          <w:sz w:val="24"/>
          <w:szCs w:val="24"/>
        </w:rPr>
        <w:t xml:space="preserve">Поставщики мяса, за исключением государственного оператора, в течение трех месяцев с момента получения квоты должны осуществлять поставку 30% полученного объема мяса, в случае незавоза тарифная квота автоматически аннулируется и в соответствии с принятым решением комиссии подлежит дальнейшему перераспределению.</w:t>
      </w:r>
    </w:p>
    <w:p>
      <w:pPr>
        <w:spacing w:after="120"/>
        <w:ind w:firstLine="567"/>
        <w:jc w:val="both"/>
      </w:pPr>
      <w:r>
        <w:rPr>
          <w:rFonts w:ascii="Arial" w:cs="Arial" w:eastAsia="Arial" w:hAnsi="Arial"/>
          <w:sz w:val="24"/>
          <w:szCs w:val="24"/>
        </w:rPr>
        <w:t xml:space="preserve">Распределенный объем тарифной квоты не подлежит передаче и продаже третьим лицам. За нарушение данного порядка участник внешнеэкономической деятельности несет ответственность в соответствии с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Комиссия, созданная при уполномоченном органе в области развития агропромышленного комплекса, в рамках настоящих Правил:</w:t>
      </w:r>
    </w:p>
    <w:p>
      <w:pPr>
        <w:spacing w:after="120"/>
        <w:ind w:firstLine="567"/>
        <w:jc w:val="both"/>
      </w:pPr>
      <w:r>
        <w:rPr>
          <w:rFonts w:ascii="Arial" w:cs="Arial" w:eastAsia="Arial" w:hAnsi="Arial"/>
          <w:sz w:val="24"/>
          <w:szCs w:val="24"/>
        </w:rPr>
        <w:t xml:space="preserve">- рассматривает заявки участников внешнеторговой деятельности на распределение объемов тарифных квот и прилагаемые к ним документы;</w:t>
      </w:r>
    </w:p>
    <w:p>
      <w:pPr>
        <w:spacing w:after="120"/>
        <w:ind w:firstLine="567"/>
        <w:jc w:val="both"/>
      </w:pPr>
      <w:r>
        <w:rPr>
          <w:rFonts w:ascii="Arial" w:cs="Arial" w:eastAsia="Arial" w:hAnsi="Arial"/>
          <w:sz w:val="24"/>
          <w:szCs w:val="24"/>
        </w:rPr>
        <w:t xml:space="preserve">- принимает решения о распределении объемов тарифных квот между государственным оператором, историческими и новыми поставщиками;</w:t>
      </w:r>
    </w:p>
    <w:p>
      <w:pPr>
        <w:spacing w:after="120"/>
        <w:ind w:firstLine="567"/>
        <w:jc w:val="both"/>
      </w:pPr>
      <w:r>
        <w:rPr>
          <w:rFonts w:ascii="Arial" w:cs="Arial" w:eastAsia="Arial" w:hAnsi="Arial"/>
          <w:sz w:val="24"/>
          <w:szCs w:val="24"/>
        </w:rPr>
        <w:t xml:space="preserve">- утверждает итоги распределения объемов тарифных квот протоколом;</w:t>
      </w:r>
    </w:p>
    <w:p>
      <w:pPr>
        <w:spacing w:after="120"/>
        <w:ind w:firstLine="567"/>
        <w:jc w:val="both"/>
      </w:pPr>
      <w:r>
        <w:rPr>
          <w:rFonts w:ascii="Arial" w:cs="Arial" w:eastAsia="Arial" w:hAnsi="Arial"/>
          <w:sz w:val="24"/>
          <w:szCs w:val="24"/>
        </w:rPr>
        <w:t xml:space="preserve">- принимает решения об отказе в предоставлении тарифной квоты, аннулировании и отзыве ранее выделенных объемов тарифных квот в случаях, предусмотренных настоящими Правилами;</w:t>
      </w:r>
    </w:p>
    <w:p>
      <w:pPr>
        <w:spacing w:after="120"/>
        <w:ind w:firstLine="567"/>
        <w:jc w:val="both"/>
      </w:pPr>
      <w:r>
        <w:rPr>
          <w:rFonts w:ascii="Arial" w:cs="Arial" w:eastAsia="Arial" w:hAnsi="Arial"/>
          <w:sz w:val="24"/>
          <w:szCs w:val="24"/>
        </w:rPr>
        <w:t xml:space="preserve">- принимает решения о перераспределении неиспользованных и аннулированных объемов тарифных квот;</w:t>
      </w:r>
    </w:p>
    <w:p>
      <w:pPr>
        <w:spacing w:after="120"/>
        <w:ind w:firstLine="567"/>
        <w:jc w:val="both"/>
      </w:pPr>
      <w:r>
        <w:rPr>
          <w:rFonts w:ascii="Arial" w:cs="Arial" w:eastAsia="Arial" w:hAnsi="Arial"/>
          <w:sz w:val="24"/>
          <w:szCs w:val="24"/>
        </w:rPr>
        <w:t xml:space="preserve">- осуществляет контроль за соблюдением участниками внешнеторговой деятельности условий использования выделенных объемов тарифных квот.</w:t>
      </w:r>
    </w:p>
    <w:p>
      <w:pPr>
        <w:spacing w:after="120"/>
        <w:ind w:firstLine="567"/>
        <w:jc w:val="both"/>
      </w:pPr>
      <w:r>
        <w:rPr>
          <w:rFonts w:ascii="Arial" w:cs="Arial" w:eastAsia="Arial" w:hAnsi="Arial"/>
          <w:sz w:val="24"/>
          <w:szCs w:val="24"/>
        </w:rPr>
        <w:t xml:space="preserve">Комиссия осуществляет свою деятельность в соответствии с настоящими Правилами и положением о комиссии, утвержденным приказом уполномоченного органа в области развития агропромышленного комплекса.</w:t>
      </w:r>
    </w:p>
    <w:p>
      <w:pPr>
        <w:spacing w:after="240" w:before="200"/>
        <w:jc w:val="center"/>
      </w:pPr>
      <w:r>
        <w:rPr>
          <w:rFonts w:ascii="Arial" w:cs="Arial" w:eastAsia="Arial" w:hAnsi="Arial"/>
          <w:b/>
          <w:bCs/>
          <w:sz w:val="32"/>
          <w:szCs w:val="32"/>
        </w:rPr>
        <w:t xml:space="preserve">Глава 3. Метод распределения тарифных квот между историческими поставщиками</w:t>
      </w:r>
    </w:p>
    <w:p>
      <w:pPr>
        <w:spacing w:after="120"/>
        <w:ind w:firstLine="567"/>
        <w:jc w:val="both"/>
      </w:pPr>
      <w:r>
        <w:rPr>
          <w:rFonts w:ascii="Arial" w:cs="Arial" w:eastAsia="Arial" w:hAnsi="Arial"/>
          <w:sz w:val="24"/>
          <w:szCs w:val="24"/>
        </w:rPr>
        <w:t xml:space="preserve">8. Распределение объемов тарифных квот между историческими поставщиками на ввоз мяса крупного рогатого скота (код ТН ВЭД ЕАЭС 0202), свинины (код ТН ВЭД ЕАЭС 0203) и мяса птицы (код ТН ВЭД ЕАЭС 0207) осуществляется в два этапа в рамках настоящих Правил.</w:t>
      </w:r>
    </w:p>
    <w:p>
      <w:pPr>
        <w:spacing w:after="120"/>
        <w:ind w:firstLine="567"/>
        <w:jc w:val="both"/>
      </w:pPr>
      <w:r>
        <w:rPr>
          <w:rFonts w:ascii="Arial" w:cs="Arial" w:eastAsia="Arial" w:hAnsi="Arial"/>
          <w:sz w:val="24"/>
          <w:szCs w:val="24"/>
        </w:rPr>
        <w:t xml:space="preserve">9. Уполномоченный орган в области развития агропромышленного комплекса ежегодно:</w:t>
      </w:r>
    </w:p>
    <w:p>
      <w:pPr>
        <w:spacing w:after="120"/>
        <w:ind w:firstLine="567"/>
        <w:jc w:val="both"/>
      </w:pPr>
      <w:r>
        <w:rPr>
          <w:rFonts w:ascii="Arial" w:cs="Arial" w:eastAsia="Arial" w:hAnsi="Arial"/>
          <w:sz w:val="24"/>
          <w:szCs w:val="24"/>
        </w:rPr>
        <w:t xml:space="preserve">1) до 10 декабря года, предшествующего году установления тарифной квоты, осуществляет первый этап распределения между государственным оператором и историческими поставщиками объемов тарифных квот, определенных для исторических поставщиков;</w:t>
      </w:r>
    </w:p>
    <w:p>
      <w:pPr>
        <w:spacing w:after="120"/>
        <w:ind w:firstLine="567"/>
        <w:jc w:val="both"/>
      </w:pPr>
      <w:r>
        <w:rPr>
          <w:rFonts w:ascii="Arial" w:cs="Arial" w:eastAsia="Arial" w:hAnsi="Arial"/>
          <w:sz w:val="24"/>
          <w:szCs w:val="24"/>
        </w:rPr>
        <w:t xml:space="preserve">2) до 10 апреля года, в котором установлена тарифная квота, осуществляет второй этап распределения между историческими поставщиками объемов тарифных квот, определенных для исторических поставщиков.</w:t>
      </w:r>
    </w:p>
    <w:p>
      <w:pPr>
        <w:spacing w:after="120"/>
        <w:ind w:firstLine="567"/>
        <w:jc w:val="both"/>
      </w:pPr>
      <w:r>
        <w:rPr>
          <w:rFonts w:ascii="Arial" w:cs="Arial" w:eastAsia="Arial" w:hAnsi="Arial"/>
          <w:sz w:val="24"/>
          <w:szCs w:val="24"/>
        </w:rPr>
        <w:t xml:space="preserve">10. В рамках первого этапа между историческими поставщиками распределяется 25 процентов от объема тарифных квот, определенного для исторических поставщиков.</w:t>
      </w:r>
    </w:p>
    <w:p>
      <w:pPr>
        <w:spacing w:after="12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мяса для каждого поставщика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12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историческим поставщиком за первый год предшествующего периода,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II-9</w:t>
      </w:r>
      <w:r>
        <w:rPr>
          <w:rFonts w:ascii="Arial" w:cs="Arial" w:eastAsia="Arial" w:hAnsi="Arial"/>
          <w:sz w:val="24"/>
          <w:szCs w:val="24"/>
        </w:rPr>
        <w:t xml:space="preserve"> - объем ввоза товара историческим поставщиком за 9 месяцев года,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за первый год предшествующего периода всеми историческими поставщиками, осуществлявшими ввоз в году,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II-9</w:t>
      </w:r>
      <w:r>
        <w:rPr>
          <w:rFonts w:ascii="Arial" w:cs="Arial" w:eastAsia="Arial" w:hAnsi="Arial"/>
          <w:sz w:val="24"/>
          <w:szCs w:val="24"/>
        </w:rPr>
        <w:t xml:space="preserve"> - объем ввоза товара всеми историческими поставщиками на территорию Кыргызской Республики за 9 месяцев года,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11. В рамках второго этапа между историческими поставщиками распределяются оставшиеся 75 процентов объема тарифных квот, определенного для исторических поставщиков.</w:t>
      </w:r>
    </w:p>
    <w:p>
      <w:pPr>
        <w:spacing w:after="12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12</w:t>
      </w:r>
      <w:r>
        <w:rPr>
          <w:rFonts w:ascii="Arial" w:cs="Arial" w:eastAsia="Arial" w:hAnsi="Arial"/>
          <w:sz w:val="24"/>
          <w:szCs w:val="24"/>
        </w:rPr>
        <w:t xml:space="preserve"> - объем тарифной квоты, распределенный историческому поставщику в рамках второго этапа, в килограммах;</w:t>
      </w:r>
    </w:p>
    <w:p>
      <w:pPr>
        <w:spacing w:after="12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120"/>
        <w:ind w:firstLine="567"/>
        <w:jc w:val="both"/>
      </w:pPr>
      <w:r>
        <w:rPr>
          <w:rFonts w:ascii="Arial" w:cs="Arial" w:eastAsia="Arial" w:hAnsi="Arial"/>
          <w:sz w:val="24"/>
          <w:szCs w:val="24"/>
        </w:rPr>
        <w:t xml:space="preserve">V - объем ввоза товара, осуществленного историческим поставщиком в предшествующем периоде, в килограммах;</w:t>
      </w:r>
    </w:p>
    <w:p>
      <w:pPr>
        <w:spacing w:after="120"/>
        <w:ind w:firstLine="567"/>
        <w:jc w:val="both"/>
      </w:pPr>
      <w:r>
        <w:rPr>
          <w:rFonts w:ascii="Arial" w:cs="Arial" w:eastAsia="Arial" w:hAnsi="Arial"/>
          <w:sz w:val="24"/>
          <w:szCs w:val="24"/>
        </w:rPr>
        <w:t xml:space="preserve">V' - объем ввоза товара в предшествующем периоде всеми историческими поставщиками, осуществлявшими ввоз в году, непосредственно предшествующему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12. Комиссия уполномоченного органа в области развития агропромышленного комплекса в соответствии с пунктом 11 настоящих Правил проводит распределение квот между поставщиками в течение 10 рабочих дней после окончания срока приема заявок на распределение.</w:t>
      </w:r>
    </w:p>
    <w:p>
      <w:pPr>
        <w:spacing w:after="12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120"/>
        <w:ind w:firstLine="567"/>
        <w:jc w:val="both"/>
      </w:pPr>
      <w:r>
        <w:rPr>
          <w:rFonts w:ascii="Arial" w:cs="Arial" w:eastAsia="Arial" w:hAnsi="Arial"/>
          <w:sz w:val="24"/>
          <w:szCs w:val="24"/>
        </w:rPr>
        <w:t xml:space="preserve">13. Результаты расчетов, произведенных по формулам, установленным пунктами 10 и 11 настоящих Правил, математически округляются до целого числа (до значения килограмма).</w:t>
      </w:r>
    </w:p>
    <w:p>
      <w:pPr>
        <w:spacing w:after="120"/>
        <w:ind w:firstLine="567"/>
        <w:jc w:val="both"/>
      </w:pPr>
      <w:r>
        <w:rPr>
          <w:rFonts w:ascii="Arial" w:cs="Arial" w:eastAsia="Arial" w:hAnsi="Arial"/>
          <w:sz w:val="24"/>
          <w:szCs w:val="24"/>
        </w:rPr>
        <w:t xml:space="preserve">Если по результатам расчета полученный объем тарифной квоты для исторического поставщика меньше коммерчески выгодного количества, то данный объем распределяется между остальными историческими поставщиками.</w:t>
      </w:r>
    </w:p>
    <w:p>
      <w:pPr>
        <w:spacing w:after="120"/>
        <w:ind w:firstLine="567"/>
        <w:jc w:val="both"/>
      </w:pPr>
      <w:r>
        <w:rPr>
          <w:rFonts w:ascii="Arial" w:cs="Arial" w:eastAsia="Arial" w:hAnsi="Arial"/>
          <w:sz w:val="24"/>
          <w:szCs w:val="24"/>
        </w:rPr>
        <w:t xml:space="preserve">14. Исторические поставщики, не использовавшие выделенный объем тарифной квоты, в последующий 1 год не участвуют в распределении объемов тарифных квот.</w:t>
      </w:r>
    </w:p>
    <w:p>
      <w:pPr>
        <w:spacing w:after="120"/>
        <w:ind w:firstLine="567"/>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120"/>
        <w:ind w:firstLine="567"/>
        <w:jc w:val="both"/>
      </w:pPr>
      <w:r>
        <w:rPr>
          <w:rFonts w:ascii="Arial" w:cs="Arial" w:eastAsia="Arial" w:hAnsi="Arial"/>
          <w:sz w:val="24"/>
          <w:szCs w:val="24"/>
        </w:rPr>
        <w:t xml:space="preserve">15. Исторический поставщик в течение девяти месяцев должен завести 70% от полученного объема квоты, в случае незавоза тарифная квота автоматически аннулируется.</w:t>
      </w:r>
    </w:p>
    <w:p>
      <w:pPr>
        <w:spacing w:after="240" w:before="200"/>
        <w:jc w:val="center"/>
      </w:pPr>
      <w:r>
        <w:rPr>
          <w:rFonts w:ascii="Arial" w:cs="Arial" w:eastAsia="Arial" w:hAnsi="Arial"/>
          <w:b/>
          <w:bCs/>
          <w:sz w:val="32"/>
          <w:szCs w:val="32"/>
        </w:rPr>
        <w:t xml:space="preserve">Глава 4. Метод распределения тарифных квот между новыми поставщиками</w:t>
      </w:r>
    </w:p>
    <w:p>
      <w:pPr>
        <w:spacing w:after="120"/>
        <w:ind w:firstLine="567"/>
        <w:jc w:val="both"/>
      </w:pPr>
      <w:r>
        <w:rPr>
          <w:rFonts w:ascii="Arial" w:cs="Arial" w:eastAsia="Arial" w:hAnsi="Arial"/>
          <w:sz w:val="24"/>
          <w:szCs w:val="24"/>
        </w:rPr>
        <w:t xml:space="preserve">16. Распределение объемов тарифных квот между новыми поставщиками на ввоз мяса крупного рогатого скота (код ТН ВЭД ЕАЭС 0202), свинины (код ТН ВЭД ЕАЭС 0203) и мяса птицы (код ТН ВЭД ЕАЭС 0207) осуществляется по истечении 15 календарных дней после установления объема тарифной квоты на соответствующий год в порядке очередности подачи заявки новыми поставщиками о выделении квоты на импорт по форме согласно приложению к настоящим Правилам в объеме, не превышающем 15% для каждого нового поставщика от общего объема годовой тарифной квоты, определенной для новых поставщиков.</w:t>
      </w:r>
    </w:p>
    <w:p>
      <w:pPr>
        <w:spacing w:after="12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120"/>
        <w:ind w:firstLine="567"/>
        <w:jc w:val="both"/>
      </w:pPr>
      <w:r>
        <w:rPr>
          <w:rFonts w:ascii="Arial" w:cs="Arial" w:eastAsia="Arial" w:hAnsi="Arial"/>
          <w:sz w:val="24"/>
          <w:szCs w:val="24"/>
        </w:rPr>
        <w:t xml:space="preserve">17. Объемы тарифной квоты на ввоз, предусмотренные для новых поставщиков, распределяются до полного их исчерпания.</w:t>
      </w:r>
    </w:p>
    <w:p>
      <w:pPr>
        <w:spacing w:after="120"/>
        <w:ind w:firstLine="567"/>
        <w:jc w:val="both"/>
      </w:pPr>
      <w:r>
        <w:rPr>
          <w:rFonts w:ascii="Arial" w:cs="Arial" w:eastAsia="Arial" w:hAnsi="Arial"/>
          <w:sz w:val="24"/>
          <w:szCs w:val="24"/>
        </w:rPr>
        <w:t xml:space="preserve">18. Уполномоченный орган в области развития агропромышленного комплекса публикует на интернет-ресурсе сведения об объемах тарифных квот на ввоз мяса крупного рогатого скота (код ТН ВЭД ЕАЭС 0202), свинины (код ТН ВЭД ЕАЭС 0203) и мяса птицы (код ТН ВЭД ЕАЭС 0207), которые были распределены, и объемах, оставшихся нераспределенными, до тех пор, пока квота не будет исчерпана.</w:t>
      </w:r>
    </w:p>
    <w:p>
      <w:pPr>
        <w:spacing w:after="120"/>
        <w:ind w:firstLine="567"/>
        <w:jc w:val="both"/>
      </w:pPr>
      <w:r>
        <w:rPr>
          <w:rFonts w:ascii="Arial" w:cs="Arial" w:eastAsia="Arial" w:hAnsi="Arial"/>
          <w:sz w:val="24"/>
          <w:szCs w:val="24"/>
        </w:rPr>
        <w:t xml:space="preserve">19. Новые поставщики, не использовавшие в отчетном году выделенный объем тарифной квоты, в последующий 1 год не участвуют в распределении объемов тарифных квот.</w:t>
      </w:r>
    </w:p>
    <w:p>
      <w:pPr>
        <w:spacing w:after="120"/>
        <w:ind w:firstLine="567"/>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120"/>
        <w:ind w:firstLine="567"/>
        <w:jc w:val="both"/>
      </w:pPr>
      <w:r>
        <w:rPr>
          <w:rFonts w:ascii="Arial" w:cs="Arial" w:eastAsia="Arial" w:hAnsi="Arial"/>
          <w:sz w:val="24"/>
          <w:szCs w:val="24"/>
        </w:rPr>
        <w:t xml:space="preserve">20.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у нового поставщика, объем тарифной квоты, выделяемый уполномоченным органом в области развития агропромышленного комплекса, считается нераспределенным.</w:t>
      </w:r>
    </w:p>
    <w:p>
      <w:pPr>
        <w:spacing w:after="120"/>
        <w:ind w:firstLine="567"/>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120"/>
        <w:ind w:firstLine="567"/>
        <w:jc w:val="both"/>
      </w:pPr>
      <w:r>
        <w:rPr>
          <w:rFonts w:ascii="Arial" w:cs="Arial" w:eastAsia="Arial" w:hAnsi="Arial"/>
          <w:sz w:val="24"/>
          <w:szCs w:val="24"/>
        </w:rPr>
        <w:t xml:space="preserve">21. Новый поставщик в течение девяти месяцев должен завести не менее 80% от полученного объема квоты, в случае незавоза тарифная квота автоматически аннулируется.</w:t>
      </w:r>
    </w:p>
    <w:p>
      <w:pPr>
        <w:spacing w:after="240" w:before="200"/>
        <w:jc w:val="center"/>
      </w:pPr>
      <w:r>
        <w:rPr>
          <w:rFonts w:ascii="Arial" w:cs="Arial" w:eastAsia="Arial" w:hAnsi="Arial"/>
          <w:b/>
          <w:bCs/>
          <w:sz w:val="32"/>
          <w:szCs w:val="32"/>
        </w:rPr>
        <w:t xml:space="preserve">Глава 5. Использование квот государственным оператором</w:t>
      </w:r>
    </w:p>
    <w:p>
      <w:pPr>
        <w:spacing w:after="120"/>
        <w:ind w:firstLine="567"/>
        <w:jc w:val="both"/>
      </w:pPr>
      <w:r>
        <w:rPr>
          <w:rFonts w:ascii="Arial" w:cs="Arial" w:eastAsia="Arial" w:hAnsi="Arial"/>
          <w:sz w:val="24"/>
          <w:szCs w:val="24"/>
        </w:rPr>
        <w:t xml:space="preserve">22. Государственный оператор в рамках выделенных в соответствии с настоящими Правилами объемов тарифных квот на ввоз мяса крупного рогатого скота (код ТН ВЭД ЕАЭС 0202) и мяса птицы (код ТН ВЭД ЕАЭС 0207) осуществляет поставку мяса самостоятельно или посредством заключения договоров о совместной деятельности с третьими лицами.</w:t>
      </w:r>
    </w:p>
    <w:p>
      <w:pPr>
        <w:spacing w:after="120"/>
        <w:ind w:firstLine="567"/>
        <w:jc w:val="both"/>
      </w:pPr>
      <w:r>
        <w:rPr>
          <w:rFonts w:ascii="Arial" w:cs="Arial" w:eastAsia="Arial" w:hAnsi="Arial"/>
          <w:sz w:val="24"/>
          <w:szCs w:val="24"/>
        </w:rPr>
        <w:t xml:space="preserve">23. В случае осуществления ввоза мяса в пределах выделенных государственному оператору квот, посредством осуществления совместной деятельности уполномоченный орган в области развития агропромышленного комплекса выдает соответствующие квоты лицу, являющемуся партнером государственного оператора, на основании письменного обращения государственного оператора при условии предоставления копии договора, подтверждающего осуществление совместной деятельности.</w:t>
      </w:r>
    </w:p>
    <w:p>
      <w:pPr>
        <w:spacing w:after="120"/>
        <w:ind w:firstLine="567"/>
        <w:jc w:val="both"/>
      </w:pPr>
      <w:r>
        <w:rPr>
          <w:rFonts w:ascii="Arial" w:cs="Arial" w:eastAsia="Arial" w:hAnsi="Arial"/>
          <w:sz w:val="24"/>
          <w:szCs w:val="24"/>
        </w:rPr>
        <w:t xml:space="preserve">24. Решение об определении партнеров при осуществлении совместной деятельности в сфере осуществления поставок мяса принимается государственным оператором на основании решения комиссии, созданной уполномоченным органом в области развития агропромышленного комплекса.</w:t>
      </w:r>
    </w:p>
    <w:p>
      <w:pPr>
        <w:spacing w:after="120"/>
        <w:ind w:firstLine="567"/>
        <w:jc w:val="both"/>
      </w:pPr>
      <w:r>
        <w:rPr>
          <w:rFonts w:ascii="Arial" w:cs="Arial" w:eastAsia="Arial" w:hAnsi="Arial"/>
          <w:sz w:val="24"/>
          <w:szCs w:val="24"/>
        </w:rPr>
        <w:t xml:space="preserve">В случае необходимости отбора партнеров и обеспечения справедливости и прозрачности по поставкам мяса, государственный оператор должен использовать расчеты, указанные в пунктах 10 и 16 настоящих Правил.</w:t>
      </w:r>
    </w:p>
    <w:p>
      <w:pPr>
        <w:spacing w:after="120"/>
        <w:ind w:firstLine="567"/>
        <w:jc w:val="both"/>
      </w:pPr>
      <w:r>
        <w:rPr>
          <w:rFonts w:ascii="Arial" w:cs="Arial" w:eastAsia="Arial" w:hAnsi="Arial"/>
          <w:sz w:val="24"/>
          <w:szCs w:val="24"/>
        </w:rPr>
        <w:t xml:space="preserve">25. В случае если имеется риск неосвоения выделенных государственному оператору квот в полном объеме, государственный оператор письменно уведомляет об этом уполномоченный орган в области развития агропромышленного комплекса с указанием части объема квот, которые не могут быть освоены, в рамках имеющихся у государственного оператора договорных обязательств.</w:t>
      </w:r>
    </w:p>
    <w:p>
      <w:pPr>
        <w:spacing w:after="120"/>
        <w:ind w:firstLine="567"/>
        <w:jc w:val="both"/>
      </w:pPr>
      <w:r>
        <w:rPr>
          <w:rFonts w:ascii="Arial" w:cs="Arial" w:eastAsia="Arial" w:hAnsi="Arial"/>
          <w:sz w:val="24"/>
          <w:szCs w:val="24"/>
        </w:rPr>
        <w:t xml:space="preserve">В указанном случае неиспользованные государственным оператором квоты подлежат распределению на основании решения уполномоченного органа в области развития агропромышленного комплекса между историческими и новыми поставщиками.</w:t>
      </w:r>
    </w:p>
    <w:p>
      <w:pPr>
        <w:spacing w:after="240" w:before="200"/>
        <w:jc w:val="center"/>
      </w:pPr>
      <w:r>
        <w:rPr>
          <w:rFonts w:ascii="Arial" w:cs="Arial" w:eastAsia="Arial" w:hAnsi="Arial"/>
          <w:b/>
          <w:bCs/>
          <w:sz w:val="32"/>
          <w:szCs w:val="32"/>
        </w:rPr>
        <w:t xml:space="preserve">Глава 6. Учет выделенных тарифных квот, выделенных лицензий и фактически поступившего мяса</w:t>
      </w:r>
    </w:p>
    <w:p>
      <w:pPr>
        <w:spacing w:after="120"/>
        <w:ind w:firstLine="567"/>
        <w:jc w:val="both"/>
      </w:pPr>
      <w:r>
        <w:rPr>
          <w:rFonts w:ascii="Arial" w:cs="Arial" w:eastAsia="Arial" w:hAnsi="Arial"/>
          <w:sz w:val="24"/>
          <w:szCs w:val="24"/>
        </w:rPr>
        <w:t xml:space="preserve">26. Учет распределенных квот по субъектно производится уполномоченным органом в сфере агропромышленного комплекса.</w:t>
      </w:r>
    </w:p>
    <w:p>
      <w:pPr>
        <w:spacing w:after="120"/>
        <w:ind w:firstLine="567"/>
        <w:jc w:val="both"/>
      </w:pPr>
      <w:r>
        <w:rPr>
          <w:rFonts w:ascii="Arial" w:cs="Arial" w:eastAsia="Arial" w:hAnsi="Arial"/>
          <w:sz w:val="24"/>
          <w:szCs w:val="24"/>
        </w:rPr>
        <w:t xml:space="preserve">27. Учет выданных лицензий в разрезе поставщиков мяса ведется уполномоченным органом в сфере экономики и коммерции исключительно в пределах объемов, распределенных уполномоченным органом в области развития агропромышленного комплекса. Основанием для выдачи лицензии является заключение (согласие на ввоз с указанием объема мяса), выданное уполномоченным органом в области развития агропромышленного комплекса.</w:t>
      </w:r>
    </w:p>
    <w:p>
      <w:pPr>
        <w:spacing w:after="120"/>
        <w:ind w:firstLine="567"/>
        <w:jc w:val="both"/>
      </w:pPr>
      <w:r>
        <w:rPr>
          <w:rFonts w:ascii="Arial" w:cs="Arial" w:eastAsia="Arial" w:hAnsi="Arial"/>
          <w:sz w:val="24"/>
          <w:szCs w:val="24"/>
        </w:rPr>
        <w:t xml:space="preserve">28. Уполномоченный орган в сфере экономики и коммерции ежеквартально не позднее 15-го числа месяца, следующего за отчетным кварталом, представляет в уполномоченный орган в области развития агропромышленного комплекса информацию о выданных лицензиях на ввоз мяса (в натуральном и стоимостном выражении) по каждой лицензии с указанием страны происхождения, таможенной процедуры и 10-значного кода ТН ВЭД ЕАЭС.</w:t>
      </w:r>
    </w:p>
    <w:p>
      <w:pPr>
        <w:spacing w:after="120"/>
        <w:ind w:firstLine="567"/>
        <w:jc w:val="both"/>
      </w:pPr>
      <w:r>
        <w:rPr>
          <w:rFonts w:ascii="Arial" w:cs="Arial" w:eastAsia="Arial" w:hAnsi="Arial"/>
          <w:sz w:val="24"/>
          <w:szCs w:val="24"/>
        </w:rPr>
        <w:t xml:space="preserve">29. Общая координация по учету квот, лицензий и фактически поступивших объемов производится уполномоченным органом в сфере агропромышленного комплекса для определения объема квот на следующий год.</w:t>
      </w:r>
    </w:p>
    <w:p>
      <w:pPr>
        <w:spacing w:after="120"/>
        <w:ind w:firstLine="567"/>
        <w:jc w:val="both"/>
      </w:pPr>
      <w:r>
        <w:rPr>
          <w:rFonts w:ascii="Arial" w:cs="Arial" w:eastAsia="Arial" w:hAnsi="Arial"/>
          <w:sz w:val="24"/>
          <w:szCs w:val="24"/>
        </w:rPr>
        <w:t xml:space="preserve">Указанная информация формируется по дате выпуска мясной продукции для внутреннего потребления.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Правилам распределения и учета объемов тарифных квот между участниками внешнеторговой деятельности на ввоз в Кыргызскую Республику отдельных видов мяса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ЗАЯВКА</w:t>
      </w:r>
    </w:p>
    <w:p>
      <w:pPr>
        <w:spacing w:after="120"/>
        <w:jc w:val="center"/>
      </w:pPr>
      <w:r>
        <w:rPr>
          <w:rFonts w:ascii="Arial" w:cs="Arial" w:eastAsia="Arial" w:hAnsi="Arial"/>
          <w:sz w:val="24"/>
          <w:szCs w:val="24"/>
        </w:rPr>
        <w:t xml:space="preserve">_______________________________________________________________________
 (полное наименование юридического лица или ФИО физического лица,
 ИНН предпринимателя)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просит выделить квоту на импорт:</w:t>
      </w:r>
    </w:p>
    <w:p>
      <w:pPr>
        <w:spacing w:after="120"/>
        <w:ind w:firstLine="567"/>
        <w:jc w:val="both"/>
      </w:pPr>
      <w:r>
        <w:rPr>
          <w:rFonts w:ascii="Arial" w:cs="Arial" w:eastAsia="Arial" w:hAnsi="Arial"/>
          <w:sz w:val="24"/>
          <w:szCs w:val="24"/>
        </w:rPr>
        <w:t xml:space="preserve">мяса крупного рогатого скота (код ТН ВЭД ЕАЭС 0202) в объеме _________________________ тонн;</w:t>
      </w:r>
    </w:p>
    <w:p>
      <w:pPr>
        <w:spacing w:after="120"/>
        <w:ind w:firstLine="567"/>
        <w:jc w:val="both"/>
      </w:pPr>
      <w:r>
        <w:rPr>
          <w:rFonts w:ascii="Arial" w:cs="Arial" w:eastAsia="Arial" w:hAnsi="Arial"/>
          <w:sz w:val="24"/>
          <w:szCs w:val="24"/>
        </w:rPr>
        <w:t xml:space="preserve">свинины (код ТН ВЭД ЕАЭС 0203) в объеме __________________________________________ тонн;</w:t>
      </w:r>
    </w:p>
    <w:p>
      <w:pPr>
        <w:spacing w:after="120"/>
        <w:ind w:firstLine="567"/>
        <w:jc w:val="both"/>
      </w:pPr>
      <w:r>
        <w:rPr>
          <w:rFonts w:ascii="Arial" w:cs="Arial" w:eastAsia="Arial" w:hAnsi="Arial"/>
          <w:sz w:val="24"/>
          <w:szCs w:val="24"/>
        </w:rPr>
        <w:t xml:space="preserve">мяса птицы (код ТН ВЭД ЕАЭС 0207) в объеме ________________________________________ тонн.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  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печати (дата) для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Паспортные данные для физических лиц:</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natvgtsgk8xhtk8alb6">
      <w:r>
        <w:rPr>
          <w:rFonts w:ascii="Arial" w:cs="Arial" w:eastAsia="Arial" w:hAnsi="Arial"/>
          <w:color w:val="132D3F"/>
          <w:sz w:val="16"/>
          <w:szCs w:val="16"/>
          <w:u w:val="single"/>
        </w:rPr>
        <w:t xml:space="preserve">dalil.kg/document/230040591</w:t>
      </w:r>
    </w:hyperlink>
  </w:p>
  <w:p>
    <w:pPr>
      <w:spacing w:after="0" w:before="40"/>
      <w:jc w:val="center"/>
    </w:pPr>
    <w:hyperlink w:history="1" r:id="rIdksoy-yr_oquqavpoqda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ovt7zexcuohsjojyfde" Type="http://schemas.openxmlformats.org/officeDocument/2006/relationships/hyperlink" Target="https://dalil.kg/document/2300405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natvgtsgk8xhtk8alb6" Type="http://schemas.openxmlformats.org/officeDocument/2006/relationships/hyperlink" Target="https://dalil.kg/document/230040591" TargetMode="External"/><Relationship Id="rIdksoy-yr_oquqavpoqda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2026-09-26T21:41:56.526Z</dcterms:created>
  <dcterms:modified xsi:type="dcterms:W3CDTF">2026-09-26T21:41:56.526Z</dcterms:modified>
</cp:coreProperties>
</file>

<file path=docProps/custom.xml><?xml version="1.0" encoding="utf-8"?>
<Properties xmlns="http://schemas.openxmlformats.org/officeDocument/2006/custom-properties" xmlns:vt="http://schemas.openxmlformats.org/officeDocument/2006/docPropsVTypes"/>
</file>