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февраля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6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46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приеме в гражданство Кыргызской Республики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t-b-vu3bwd1uimvrdsl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законами Кыргызской Республики «</w:t>
      </w:r>
      <w:hyperlink w:history="1" r:id="rIdktpcmx2uqoig0-phujb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-_jmt6wddz67ahafhut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ратификации Соглашения между Республикой Беларусь, Республикой Казахстан, Кыргызской Республикой и Российской Федерацией об упрощенном порядке приобретения гражданства</w:t>
        </w:r>
      </w:hyperlink>
      <w:r>
        <w:rPr>
          <w:rFonts w:ascii="Arial" w:cs="Arial" w:eastAsia="Arial" w:hAnsi="Arial"/>
          <w:sz w:val="24"/>
          <w:szCs w:val="24"/>
        </w:rPr>
        <w:t xml:space="preserve">», а также учитывая предложение Комиссии по вопросам гражданства при Президенте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лиц согласно прилагаемому списку.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https://president.kg/ru/news/all/40097 от 13 февраля 2026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dzdhsfr6qg45trc7ot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dalil.kg/document/230040707</w:t>
      </w:r>
    </w:hyperlink>
  </w:p>
  <w:p>
    <w:pPr>
      <w:spacing w:after="0" w:before="40"/>
      <w:jc w:val="center"/>
    </w:pPr>
    <w:hyperlink w:history="1" r:id="rIdpt1c_gvoan0vfkuiq3a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-b-vu3bwd1uimvrdslte" Type="http://schemas.openxmlformats.org/officeDocument/2006/relationships/hyperlink" Target="https://dalil.kg/document/112213#st_70" TargetMode="External"/><Relationship Id="rIdktpcmx2uqoig0-phujbvt" Type="http://schemas.openxmlformats.org/officeDocument/2006/relationships/hyperlink" Target="https://dalil.kg/document/202103" TargetMode="External"/><Relationship Id="rId-_jmt6wddz67ahafhut4b" Type="http://schemas.openxmlformats.org/officeDocument/2006/relationships/hyperlink" Target="https://dalil.kg/document/45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dzdhsfr6qg45trc7otgi" Type="http://schemas.openxmlformats.org/officeDocument/2006/relationships/hyperlink" Target="https://dalil.kg/document/230040707" TargetMode="External"/><Relationship Id="rIdpt1c_gvoan0vfkuiq3ah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2026-09-26T15:53:11.128Z</dcterms:created>
  <dcterms:modified xsi:type="dcterms:W3CDTF">2026-09-26T15:53:11.128Z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