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декабря 2022-год</w:t>
      </w:r>
      <w:r>
        <w:rPr>
          <w:rFonts w:ascii="Arial" w:cs="Arial" w:eastAsia="Arial" w:hAnsi="Arial"/>
          <w:sz w:val="24"/>
          <w:szCs w:val="24"/>
        </w:rPr>
        <w:t xml:space="preserve">, № 25/</w:t>
      </w:r>
      <w:r>
        <w:rPr>
          <w:rFonts w:ascii="Arial" w:cs="Arial" w:eastAsia="Arial" w:hAnsi="Arial"/>
          <w:sz w:val="24"/>
          <w:szCs w:val="24"/>
        </w:rPr>
        <w:t xml:space="preserve">IX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ведении налога на имущество по Краснореченскому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по доходам Краснореченского айыл окмоту Д.К.Койчукеевой «О введении налога на имущество по Краснореченскому айыл окмоту» на основании письма Начальника управления государственной Налоговой службы от 1 декабря 2022 года №008/91, что согласно пункту 2 статьи 3 Закона Кыргызской Республики «О ведения в действие Налогового кодекса Кыргызской Республики» от 18 января 2022 года №4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hyperlink w:history="1" r:id="rIdjfyhfofazlf-mg3zcs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 ввести с 1 января 2023 года на территории Краснореченского айылного аймака налог на имущество, а именно: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недвижимое имущество;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транспортный налог;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вывоз мусора;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Н.С.Бекбоева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kbg0oklx5-7vcqvka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dalil.kg/document/230041249</w:t>
      </w:r>
    </w:hyperlink>
  </w:p>
  <w:p>
    <w:pPr>
      <w:spacing w:after="0" w:before="40"/>
      <w:jc w:val="center"/>
    </w:pPr>
    <w:hyperlink w:history="1" r:id="rIdnns_kav2lfspyuhu-ik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yhfofazlf-mg3zcsocv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kbg0oklx5-7vcqvka_n" Type="http://schemas.openxmlformats.org/officeDocument/2006/relationships/hyperlink" Target="https://dalil.kg/document/230041249" TargetMode="External"/><Relationship Id="rIdnns_kav2lfspyuhu-ik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2026-09-28T22:43:14.502Z</dcterms:created>
  <dcterms:modified xsi:type="dcterms:W3CDTF">2026-09-28T22:43:14.502Z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