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right"/>
      </w:pPr>
      <w:r>
        <w:rPr>
          <w:rFonts w:ascii="Arial" w:cs="Arial" w:eastAsia="Arial" w:hAnsi="Arial"/>
          <w:b w:val="false"/>
          <w:bCs w:val="false"/>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oisekwq8-bj3lyp0_3-oo">
        <w:r>
          <w:rPr>
            <w:rFonts w:ascii="Arial" w:cs="Arial" w:eastAsia="Arial" w:hAnsi="Arial"/>
            <w:i/>
            <w:iCs/>
            <w:color w:val="1D4ED8"/>
            <w:sz w:val="24"/>
            <w:szCs w:val="24"/>
            <w:u w:val="single"/>
          </w:rPr>
          <w:t xml:space="preserve">постановлению</w:t>
        </w:r>
      </w:hyperlink>
    </w:p>
    <w:p>
      <w:pPr>
        <w:spacing w:after="120"/>
        <w:jc w:val="right"/>
      </w:pPr>
      <w:r>
        <w:rPr>
          <w:rFonts w:ascii="Arial" w:cs="Arial" w:eastAsia="Arial" w:hAnsi="Arial"/>
          <w:i/>
          <w:iCs/>
          <w:sz w:val="24"/>
          <w:szCs w:val="24"/>
        </w:rPr>
        <w:t xml:space="preserve">Кабинета Министров</w:t>
      </w:r>
    </w:p>
    <w:p>
      <w:pPr>
        <w:spacing w:after="120"/>
        <w:jc w:val="right"/>
      </w:pPr>
      <w:r>
        <w:rPr>
          <w:rFonts w:ascii="Arial" w:cs="Arial" w:eastAsia="Arial" w:hAnsi="Arial"/>
          <w:i/>
          <w:iCs/>
          <w:sz w:val="24"/>
          <w:szCs w:val="24"/>
        </w:rPr>
        <w:t xml:space="preserve">Кыргызской Республики
 от 27 февраля 2026 года № 140)</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b w:val="false"/>
          <w:bCs w:val="false"/>
          <w:sz w:val="24"/>
          <w:szCs w:val="24"/>
        </w:rPr>
        <w:t xml:space="preserve">«</w:t>
      </w:r>
      <w:hyperlink w:history="1" r:id="rIdb6abcvoh6frhupnvzr-ab">
        <w:r>
          <w:rPr>
            <w:rFonts w:ascii="Arial" w:cs="Arial" w:eastAsia="Arial" w:hAnsi="Arial"/>
            <w:b w:val="false"/>
            <w:bCs w:val="false"/>
            <w:color w:val="1D4ED8"/>
            <w:sz w:val="24"/>
            <w:szCs w:val="24"/>
            <w:u w:val="single"/>
          </w:rPr>
          <w:t xml:space="preserve">Приложение</w:t>
        </w:r>
        <w:r>
          <w:rPr>
            <w:rFonts w:ascii="Arial" w:cs="Arial" w:eastAsia="Arial" w:hAnsi="Arial"/>
            <w:b w:val="false"/>
            <w:bCs w:val="false"/>
            <w:color w:val="1D4ED8"/>
            <w:sz w:val="24"/>
            <w:szCs w:val="24"/>
            <w:u w:val="single"/>
          </w:rPr>
          <w:t xml:space="preserve">1</w:t>
        </w:r>
      </w:hyperlink>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Типовое положение
 о фондах развития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Настоящее Типовое положение о фондах развития регионов (далее – Типовое положение) разработано в соответствии с нормами Бюджетного кодекса Кыргызской Республики, Кодекса Кыргызской Республики о неналоговых доходах, Закона Кыргызской Республики «О государственных закупках» и определяет порядок использования средств фондов развития регионов.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Фонды развития регионов (далее – Фонд) </w:t>
      </w:r>
      <w:r>
        <w:rPr>
          <w:rFonts w:ascii="Arial" w:cs="Arial" w:eastAsia="Arial" w:hAnsi="Arial"/>
          <w:sz w:val="24"/>
          <w:szCs w:val="24"/>
        </w:rPr>
        <w:t xml:space="preserve">формируются и функционируют без образования юридического лица и представляют собой счета</w:t>
      </w:r>
      <w:r>
        <w:rPr>
          <w:rFonts w:ascii="Arial" w:cs="Arial" w:eastAsia="Arial" w:hAnsi="Arial"/>
          <w:sz w:val="24"/>
          <w:szCs w:val="24"/>
        </w:rPr>
        <w:t xml:space="preserve">,</w:t>
      </w:r>
      <w:r>
        <w:rPr>
          <w:rFonts w:ascii="Arial" w:cs="Arial" w:eastAsia="Arial" w:hAnsi="Arial"/>
          <w:sz w:val="24"/>
          <w:szCs w:val="24"/>
        </w:rPr>
        <w:t xml:space="preserve"> открываемые и обслуживаемые в системе казначейства Министерства финансов Кыргызской Республики.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Средства Фонда </w:t>
      </w:r>
      <w:r>
        <w:rPr>
          <w:rFonts w:ascii="Arial" w:cs="Arial" w:eastAsia="Arial" w:hAnsi="Arial"/>
          <w:sz w:val="24"/>
          <w:szCs w:val="24"/>
        </w:rPr>
        <w:t xml:space="preserve">образуются из средств республиканского бюджета и других отчислений, поступающих в соответствии с законодательством Кыргызской Республики, и </w:t>
      </w:r>
      <w:r>
        <w:rPr>
          <w:rFonts w:ascii="Arial" w:cs="Arial" w:eastAsia="Arial" w:hAnsi="Arial"/>
          <w:sz w:val="24"/>
          <w:szCs w:val="24"/>
        </w:rPr>
        <w:t xml:space="preserve">аккумулируются на бюджетных и специальных счетах.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За эффективное управление, распределение и освоение средств Фонда области персональную ответственность несет полномочный представитель Президента Кыргызской Республики в области, а средств Фонда района – глава местной государственной администрации.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Управление и использование средств Фонда осуществляется в соответствии с принципами законности, открытости, прозрачности, гласности, рациональности и эффективности.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Понятия, применяемые в настоящем Типовом положении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Понятия, применяемые в настоящем Типовом положении:</w:t>
      </w:r>
    </w:p>
    <w:p>
      <w:pPr>
        <w:spacing w:after="120"/>
        <w:ind w:firstLine="709"/>
        <w:jc w:val="both"/>
      </w:pPr>
      <w:r>
        <w:rPr>
          <w:rFonts w:ascii="Arial" w:cs="Arial" w:eastAsia="Arial" w:hAnsi="Arial"/>
          <w:sz w:val="24"/>
          <w:szCs w:val="24"/>
        </w:rPr>
        <w:t xml:space="preserve">1)</w:t>
      </w:r>
      <w:r>
        <w:rPr>
          <w:rFonts w:ascii="Arial" w:cs="Arial" w:eastAsia="Arial" w:hAnsi="Arial"/>
          <w:b/>
          <w:bCs/>
          <w:sz w:val="24"/>
          <w:szCs w:val="24"/>
        </w:rPr>
        <w:t xml:space="preserve">государственное субсидирование местных общественных инициатив – </w:t>
      </w:r>
      <w:r>
        <w:rPr>
          <w:rFonts w:ascii="Arial" w:cs="Arial" w:eastAsia="Arial" w:hAnsi="Arial"/>
          <w:sz w:val="24"/>
          <w:szCs w:val="24"/>
        </w:rPr>
        <w:t xml:space="preserve">денежные средства, предоставляемые для реализации проектов местного сообщества по благоустройству территорий и улучшению условий проживания местного населения в городе/айылном аймаке;</w:t>
      </w:r>
    </w:p>
    <w:p>
      <w:pPr>
        <w:spacing w:after="120"/>
        <w:ind w:firstLine="709"/>
        <w:jc w:val="both"/>
      </w:pPr>
      <w:r>
        <w:rPr>
          <w:rFonts w:ascii="Arial" w:cs="Arial" w:eastAsia="Arial" w:hAnsi="Arial"/>
          <w:sz w:val="24"/>
          <w:szCs w:val="24"/>
        </w:rPr>
        <w:t xml:space="preserve">2)</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120"/>
        <w:ind w:firstLine="709"/>
        <w:jc w:val="both"/>
      </w:pPr>
      <w:r>
        <w:rPr>
          <w:rFonts w:ascii="Arial" w:cs="Arial" w:eastAsia="Arial" w:hAnsi="Arial"/>
          <w:sz w:val="24"/>
          <w:szCs w:val="24"/>
        </w:rPr>
        <w:t xml:space="preserve">3)</w:t>
      </w:r>
      <w:r>
        <w:rPr>
          <w:rFonts w:ascii="Arial" w:cs="Arial" w:eastAsia="Arial" w:hAnsi="Arial"/>
          <w:b/>
          <w:bCs/>
          <w:sz w:val="24"/>
          <w:szCs w:val="24"/>
        </w:rPr>
        <w:t xml:space="preserve">зеленая экономика </w:t>
      </w:r>
      <w:r>
        <w:rPr>
          <w:rFonts w:ascii="Arial" w:cs="Arial" w:eastAsia="Arial" w:hAnsi="Arial"/>
          <w:sz w:val="24"/>
          <w:szCs w:val="24"/>
        </w:rPr>
        <w:t xml:space="preserve">– экономика,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 сохраняющая и преумножающая природный капитал, эффективно использующая ресурсы и стимулирующая сохранение естественных экосистем страны;</w:t>
      </w:r>
    </w:p>
    <w:p>
      <w:pPr>
        <w:spacing w:after="120"/>
        <w:ind w:firstLine="709"/>
        <w:jc w:val="both"/>
      </w:pPr>
      <w:r>
        <w:rPr>
          <w:rFonts w:ascii="Arial" w:cs="Arial" w:eastAsia="Arial" w:hAnsi="Arial"/>
          <w:sz w:val="24"/>
          <w:szCs w:val="24"/>
        </w:rPr>
        <w:t xml:space="preserve">4)</w:t>
      </w:r>
      <w:r>
        <w:rPr>
          <w:rFonts w:ascii="Arial" w:cs="Arial" w:eastAsia="Arial" w:hAnsi="Arial"/>
          <w:b/>
          <w:bCs/>
          <w:sz w:val="24"/>
          <w:szCs w:val="24"/>
        </w:rPr>
        <w:t xml:space="preserve">местные общественные инициативы</w:t>
      </w:r>
      <w:r>
        <w:rPr>
          <w:rFonts w:ascii="Arial" w:cs="Arial" w:eastAsia="Arial" w:hAnsi="Arial"/>
          <w:sz w:val="24"/>
          <w:szCs w:val="24"/>
        </w:rPr>
        <w:t xml:space="preserve"> – деятельность жителей, проживающих на территории города/айылного аймака, предпринимателей и организаций гражданского общества по формированию инициативных групп, выдвижению, первоначальному обсуждению, отбору, внесению в органы местного самоуправления проектов, направленных на улучшение условий проживания местного населения в городе/айылном аймаке, а также по мобилизации финансовых, материальных и иных ресурсов местного сообщества и предпринимателей и подготовке (совместно с органами местного самоуправления) проектов для их представления на конкурс по отбору проектов, выдвинутых в рамках инициатив местного сообщества, для финансирования за счет средств Фонда; </w:t>
      </w:r>
    </w:p>
    <w:p>
      <w:pPr>
        <w:spacing w:after="120"/>
        <w:ind w:firstLine="709"/>
        <w:jc w:val="both"/>
      </w:pPr>
      <w:r>
        <w:rPr>
          <w:rFonts w:ascii="Arial" w:cs="Arial" w:eastAsia="Arial" w:hAnsi="Arial"/>
          <w:sz w:val="24"/>
          <w:szCs w:val="24"/>
        </w:rPr>
        <w:t xml:space="preserve">5)</w:t>
      </w:r>
      <w:r>
        <w:rPr>
          <w:rFonts w:ascii="Arial" w:cs="Arial" w:eastAsia="Arial" w:hAnsi="Arial"/>
          <w:b/>
          <w:bCs/>
          <w:sz w:val="24"/>
          <w:szCs w:val="24"/>
        </w:rPr>
        <w:t xml:space="preserve">исполнитель проекта </w:t>
      </w:r>
      <w:r>
        <w:rPr>
          <w:rFonts w:ascii="Arial" w:cs="Arial" w:eastAsia="Arial" w:hAnsi="Arial"/>
          <w:sz w:val="24"/>
          <w:szCs w:val="24"/>
        </w:rPr>
        <w:t xml:space="preserve">– орган местного самоуправления/
 государственный орган/субъект предпринимательства, чья проектная заявка получила одобрение Наблюдательного совета Фонда и заключивший договор с исполнительным органом Фонда на финансирование проекта, за исключением экономических проектов; </w:t>
      </w:r>
    </w:p>
    <w:p>
      <w:pPr>
        <w:spacing w:after="120"/>
        <w:ind w:firstLine="709"/>
        <w:jc w:val="both"/>
      </w:pPr>
      <w:r>
        <w:rPr>
          <w:rFonts w:ascii="Arial" w:cs="Arial" w:eastAsia="Arial" w:hAnsi="Arial"/>
          <w:sz w:val="24"/>
          <w:szCs w:val="24"/>
        </w:rPr>
        <w:t xml:space="preserve">6)</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120"/>
        <w:ind w:firstLine="709"/>
        <w:jc w:val="both"/>
      </w:pPr>
      <w:r>
        <w:rPr>
          <w:rFonts w:ascii="Arial" w:cs="Arial" w:eastAsia="Arial" w:hAnsi="Arial"/>
          <w:sz w:val="24"/>
          <w:szCs w:val="24"/>
        </w:rPr>
        <w:t xml:space="preserve">7)</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120"/>
        <w:ind w:firstLine="709"/>
        <w:jc w:val="both"/>
      </w:pPr>
      <w:r>
        <w:rPr>
          <w:rFonts w:ascii="Arial" w:cs="Arial" w:eastAsia="Arial" w:hAnsi="Arial"/>
          <w:sz w:val="24"/>
          <w:szCs w:val="24"/>
        </w:rPr>
        <w:t xml:space="preserve">8)</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120"/>
        <w:ind w:firstLine="709"/>
        <w:jc w:val="both"/>
      </w:pPr>
      <w:r>
        <w:rPr>
          <w:rFonts w:ascii="Arial" w:cs="Arial" w:eastAsia="Arial" w:hAnsi="Arial"/>
          <w:sz w:val="24"/>
          <w:szCs w:val="24"/>
        </w:rPr>
        <w:t xml:space="preserve">9)</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при поддержке местного сообщества, организованный группой граждан;</w:t>
      </w:r>
    </w:p>
    <w:p>
      <w:pPr>
        <w:spacing w:after="120"/>
        <w:ind w:firstLine="709"/>
        <w:jc w:val="both"/>
      </w:pPr>
      <w:r>
        <w:rPr>
          <w:rFonts w:ascii="Arial" w:cs="Arial" w:eastAsia="Arial" w:hAnsi="Arial"/>
          <w:sz w:val="24"/>
          <w:szCs w:val="24"/>
        </w:rPr>
        <w:t xml:space="preserve">10)</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описывающая этапы и порядок финансирования проекта по траншам и соответствующая плану реализации проекта;</w:t>
      </w:r>
    </w:p>
    <w:p>
      <w:pPr>
        <w:spacing w:after="120"/>
        <w:ind w:firstLine="709"/>
        <w:jc w:val="both"/>
      </w:pPr>
      <w:r>
        <w:rPr>
          <w:rFonts w:ascii="Arial" w:cs="Arial" w:eastAsia="Arial" w:hAnsi="Arial"/>
          <w:sz w:val="24"/>
          <w:szCs w:val="24"/>
        </w:rPr>
        <w:t xml:space="preserve">11)</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использования средств Фонда;</w:t>
      </w:r>
    </w:p>
    <w:p>
      <w:pPr>
        <w:spacing w:after="120"/>
        <w:ind w:firstLine="709"/>
        <w:jc w:val="both"/>
      </w:pPr>
      <w:r>
        <w:rPr>
          <w:rFonts w:ascii="Arial" w:cs="Arial" w:eastAsia="Arial" w:hAnsi="Arial"/>
          <w:sz w:val="24"/>
          <w:szCs w:val="24"/>
        </w:rPr>
        <w:t xml:space="preserve">12)</w:t>
      </w:r>
      <w:r>
        <w:rPr>
          <w:rFonts w:ascii="Arial" w:cs="Arial" w:eastAsia="Arial" w:hAnsi="Arial"/>
          <w:b/>
          <w:bCs/>
          <w:sz w:val="24"/>
          <w:szCs w:val="24"/>
        </w:rPr>
        <w:t xml:space="preserve">поручительство </w:t>
      </w: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механизм обеспечения исполнения обязательств субъектов национальной экономики перед финансово- кредитными, международными и иностранными организациями, предоставляемый со стороны лица, уполномоченного Кабинетом Министров Кыргызской Республики на предоставление поручительства в соответствии с Порядком предоставления поручительства субъектам национальной экономики, утверждаемым решением Кабинета Министров Кыргызской Республики;</w:t>
      </w:r>
    </w:p>
    <w:p>
      <w:pPr>
        <w:spacing w:after="120"/>
        <w:ind w:firstLine="709"/>
        <w:jc w:val="both"/>
      </w:pPr>
      <w:r>
        <w:rPr>
          <w:rFonts w:ascii="Arial" w:cs="Arial" w:eastAsia="Arial" w:hAnsi="Arial"/>
          <w:sz w:val="24"/>
          <w:szCs w:val="24"/>
        </w:rPr>
        <w:t xml:space="preserve">13)</w:t>
      </w:r>
      <w:r>
        <w:rPr>
          <w:rFonts w:ascii="Arial" w:cs="Arial" w:eastAsia="Arial" w:hAnsi="Arial"/>
          <w:b/>
          <w:bCs/>
          <w:sz w:val="24"/>
          <w:szCs w:val="24"/>
        </w:rPr>
        <w:t xml:space="preserve">проектная заявка</w:t>
      </w:r>
      <w:r>
        <w:rPr>
          <w:rFonts w:ascii="Arial" w:cs="Arial" w:eastAsia="Arial" w:hAnsi="Arial"/>
          <w:b/>
          <w:bCs/>
          <w:sz w:val="24"/>
          <w:szCs w:val="24"/>
        </w:rPr>
        <w:t xml:space="preserve">–</w:t>
      </w:r>
      <w:r>
        <w:rPr>
          <w:rFonts w:ascii="Arial" w:cs="Arial" w:eastAsia="Arial" w:hAnsi="Arial"/>
          <w:sz w:val="24"/>
          <w:szCs w:val="24"/>
        </w:rPr>
        <w:t xml:space="preserve"> описание проекта на основе типового формата, представленное от имени органа местного самоуправления/государственного органа/субъекта предпринимательства для участия в конкурсе по отбору проектов, финансируемых за счет средств Фонда;</w:t>
      </w:r>
    </w:p>
    <w:p>
      <w:pPr>
        <w:spacing w:after="120"/>
        <w:ind w:firstLine="709"/>
        <w:jc w:val="both"/>
      </w:pPr>
      <w:r>
        <w:rPr>
          <w:rFonts w:ascii="Arial" w:cs="Arial" w:eastAsia="Arial" w:hAnsi="Arial"/>
          <w:sz w:val="24"/>
          <w:szCs w:val="24"/>
        </w:rPr>
        <w:t xml:space="preserve">14)</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сфере образования, культуры, здравоохранения, спорта, социальной защиты, досуга, работы с молодежью, народного творчества в рамках решения вопросов местного значения, направленных на улучшение социальной, экономической и культурной инфраструктуры населенных пунктов, переданных государственных полномочий, а также предоставлению государственных и муниципальных услуг;</w:t>
      </w:r>
    </w:p>
    <w:p>
      <w:pPr>
        <w:spacing w:after="120"/>
        <w:ind w:firstLine="709"/>
        <w:jc w:val="both"/>
      </w:pPr>
      <w:r>
        <w:rPr>
          <w:rFonts w:ascii="Arial" w:cs="Arial" w:eastAsia="Arial" w:hAnsi="Arial"/>
          <w:sz w:val="24"/>
          <w:szCs w:val="24"/>
        </w:rPr>
        <w:t xml:space="preserve">15)</w:t>
      </w:r>
      <w:r>
        <w:rPr>
          <w:rFonts w:ascii="Arial" w:cs="Arial" w:eastAsia="Arial" w:hAnsi="Arial"/>
          <w:b/>
          <w:bCs/>
          <w:sz w:val="24"/>
          <w:szCs w:val="24"/>
        </w:rPr>
        <w:t xml:space="preserve">стартап-проект</w:t>
      </w:r>
      <w:r>
        <w:rPr>
          <w:rFonts w:ascii="Arial" w:cs="Arial" w:eastAsia="Arial" w:hAnsi="Arial"/>
          <w:sz w:val="24"/>
          <w:szCs w:val="24"/>
        </w:rPr>
        <w:t xml:space="preserve"> – инновационный бизнес-проект, имеющий экономическую или социальную новизну, актуальность и практическую значимость, создающий значительные улучшения, направленный на решение проблем и получение прибыли;</w:t>
      </w:r>
    </w:p>
    <w:p>
      <w:pPr>
        <w:spacing w:after="120"/>
        <w:ind w:firstLine="709"/>
        <w:jc w:val="both"/>
      </w:pPr>
      <w:r>
        <w:rPr>
          <w:rFonts w:ascii="Arial" w:cs="Arial" w:eastAsia="Arial" w:hAnsi="Arial"/>
          <w:sz w:val="24"/>
          <w:szCs w:val="24"/>
        </w:rPr>
        <w:t xml:space="preserve">16)</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независимо от организационно-правовых форм и форм собственности,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w:t>
      </w:r>
    </w:p>
    <w:p>
      <w:pPr>
        <w:spacing w:after="120"/>
        <w:ind w:firstLine="709"/>
        <w:jc w:val="both"/>
      </w:pPr>
      <w:r>
        <w:rPr>
          <w:rFonts w:ascii="Arial" w:cs="Arial" w:eastAsia="Arial" w:hAnsi="Arial"/>
          <w:sz w:val="24"/>
          <w:szCs w:val="24"/>
        </w:rPr>
        <w:t xml:space="preserve">17)</w:t>
      </w:r>
      <w:r>
        <w:rPr>
          <w:rFonts w:ascii="Arial" w:cs="Arial" w:eastAsia="Arial" w:hAnsi="Arial"/>
          <w:b/>
          <w:bCs/>
          <w:sz w:val="24"/>
          <w:szCs w:val="24"/>
        </w:rPr>
        <w:t xml:space="preserve">уполномоченный агент –</w:t>
      </w:r>
      <w:r>
        <w:rPr>
          <w:rFonts w:ascii="Arial" w:cs="Arial" w:eastAsia="Arial" w:hAnsi="Arial"/>
          <w:sz w:val="24"/>
          <w:szCs w:val="24"/>
        </w:rPr>
        <w:t xml:space="preserve"> лицо, уполномоченное Кабинетом Министров Кыргызской Республики на реализацию государственной политики в области бюджетного кредитования, включая финансирование экономических проектов в виде бюджетного кредитования за счет средств фондов развития регионов;</w:t>
      </w:r>
    </w:p>
    <w:p>
      <w:pPr>
        <w:spacing w:after="120"/>
        <w:ind w:firstLine="709"/>
        <w:jc w:val="both"/>
      </w:pPr>
      <w:r>
        <w:rPr>
          <w:rFonts w:ascii="Arial" w:cs="Arial" w:eastAsia="Arial" w:hAnsi="Arial"/>
          <w:sz w:val="24"/>
          <w:szCs w:val="24"/>
        </w:rPr>
        <w:t xml:space="preserve">18)</w:t>
      </w:r>
      <w:r>
        <w:rPr>
          <w:rFonts w:ascii="Arial" w:cs="Arial" w:eastAsia="Arial" w:hAnsi="Arial"/>
          <w:b/>
          <w:bCs/>
          <w:sz w:val="24"/>
          <w:szCs w:val="24"/>
        </w:rPr>
        <w:t xml:space="preserve">уполномоченное лицо по предоставлению 
 поручительства</w:t>
      </w:r>
      <w:r>
        <w:rPr>
          <w:rFonts w:ascii="Arial" w:cs="Arial" w:eastAsia="Arial" w:hAnsi="Arial"/>
          <w:sz w:val="24"/>
          <w:szCs w:val="24"/>
        </w:rPr>
        <w:t xml:space="preserve"> – лицо, уполномоченное Кабинетом Министров Кыргызской Республики на предоставление поручительства субъектам национальной экономики;</w:t>
      </w:r>
    </w:p>
    <w:p>
      <w:pPr>
        <w:spacing w:after="120"/>
        <w:ind w:firstLine="709"/>
        <w:jc w:val="both"/>
      </w:pPr>
      <w:r>
        <w:rPr>
          <w:rFonts w:ascii="Arial" w:cs="Arial" w:eastAsia="Arial" w:hAnsi="Arial"/>
          <w:sz w:val="24"/>
          <w:szCs w:val="24"/>
        </w:rPr>
        <w:t xml:space="preserve">19)</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бизнес-проект с полным описанием и обоснованием экономической целесообразности, объема и сроков осуществления прямых инвестиций субъектами предпринимательства в создание новых товаров и услуг либо реконструкцию или модернизацию действующих производств в целях получения прибыли.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Использование средств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Средства Фонда направляются на реализацию программ социально-экономического развития областей, районов, городов и айылных аймаков, субсидирование местных общественных инициатив, органов местного самоуправления, государственных органов,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Средства Фонда на бюджетном и специальном счетах направляются на финансирование социальных, инфраструктурных проектов и проектов, выдвинутых в рамках государственного субсидирования местных общественных инициатив, экономических проектов, в том числе на: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финансирование экономических проектов посредством бюджетного кредитования, осуществляемого уполномоченным агентом на условиях срочности, платности, обеспеченности и возвратности;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предоставление поручительства субъектам национальной экономики со стороны уполномоченного</w:t>
      </w:r>
      <w:r>
        <w:rPr>
          <w:rFonts w:ascii="Arial" w:cs="Arial" w:eastAsia="Arial" w:hAnsi="Arial"/>
          <w:sz w:val="24"/>
          <w:szCs w:val="24"/>
        </w:rPr>
        <w:t xml:space="preserve">лица по предоставлению поручительства в целях оказания государственной поддержки для обеспечения устойчивого экономического развития регионов;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реализацию экономических проектов участников Национального экономического проекта «Одно село – один продукт» 
 и на поддержку вернувшихся мигрантов в рамках реализации программы 1+1;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финансирование инфраструктурных проектов, направленных на создание условий для развития предпринимательства и улучшение инвестиционной среды;</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разработку проектно-сметной документации и другой технической документации социальных и инфраструктурных, экономических проектов;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финансирование проектов по строительству, ремонту и укреплению материально-технической базы объектов в сфере здравоохранения, образования, социальной защиты, культуры и спорта;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проведение мероприятий по обеспечению населения питьевым водоснабжением и системами водоотведения;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ремонт и восстановление ирригационных сетей, гидротехнических объектов, находящихся в государственной и муниципальной собственности;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финансирование проектов дорожного, жилищно-коммунального хозяйства;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приобретение специальной автотранспортной и иной техники для решения вопросов местного значения;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финансирование мероприятий по жилищному обеспечению граждан Кыргызской Республики путем предоставления финансовых средств открытому акционерному обществу «Государственная Ипотечная Компания» (далее – ОАО «ГИК») на условиях срочности и возвратности посредством заключения соответствующего финансового соглашения;</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проведение мероприятий по благоустройству, озеленению и развитию инфраструктуры населенных пунктов, реализации проектов, выдвинутых в рамках государственного субсидирования местных общественных инициатив;</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продвижение инновационных проектов, направленных на снижение воздействия деятельности на окружающую среду;</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продвижение зеленых проектов для получения дополнительного дохода для субъектов предпринимательства;</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разработку инновационных зеленых продуктов и услуг, включающих использование возобновляемых и чистых источников энергии, энергоэффективных технологий, управление отходами и продвижение принципов зеленой экономики;</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интеграцию передовых зеленых технологий/материалов и новых инновационных подходов и/или экономически эффективных технологий для сокращения выбросов парниковых газов, улучшения качества воздуха;</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продвижение мер по адаптации к изменению климата;</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разработку генеральных планов развития населенных пунктов, проектов детальной планировки, градостроительной документации населенных пунктов;</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проведение мероприятий по предупреждению и ликвидации последствий чрезвычайных ситуаций, восстановлению гражданской инфраструктуры и материальной поддержке (обеспечение питанием и жильем, приобретение горюче-смазочных материалов, товаров первой необходимости) пострадавшего населения от 3 до 8 процентов прогнозируемого годового бюджета Фонда</w:t>
      </w:r>
      <w:r>
        <w:rPr>
          <w:rFonts w:ascii="Arial" w:cs="Arial" w:eastAsia="Arial" w:hAnsi="Arial"/>
          <w:sz w:val="24"/>
          <w:szCs w:val="24"/>
        </w:rPr>
        <w:t xml:space="preserve">согласно письменному обращению в случае ЧС территориальных подразделений </w:t>
      </w:r>
      <w:r>
        <w:rPr>
          <w:rFonts w:ascii="Arial" w:cs="Arial" w:eastAsia="Arial" w:hAnsi="Arial"/>
          <w:sz w:val="24"/>
          <w:szCs w:val="24"/>
        </w:rPr>
        <w:t xml:space="preserve">уполномоченного государственного органа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проведение мероприятий по предупреждению и ликвидации неблагоприятных эпидемиологических ситуаций;</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перечисление финансовых средств на счет областных или районных Фондов по решению Наблюдательного совета Фонда; </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иные направления по решению Кабинета Министров Кыргызской Республики.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Из средств специального счета Фонда могут финансироваться мероприятия, направленные на: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укрепление материально-технической базы и поддержку деятельности в сфере обороны и гражданской защиты, средств массовой информации, полномочных представителей Президента Кыргызской Республики в областях, местных государственных администраций и органов местного самоуправления, государственных органов;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поддержку одаренных детей и талантов для участия в мероприятиях (образовательных, культурных, музыкальных, спортивных), создания для них условий обучения в образовательных учреждениях, социально уязвимых слоев населения, граждан, попавших в трудную жизненную ситуацию;</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осуществление ваучерного механизма финансирования обучения граждан Кыргызской Республики в учебных заведениях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финансирование предпринимательской деятельности малоимущих семей, получивших социальную помощь в рамках социального контракта в размере до 50 процентов от полученной суммы на основании заявки.</w:t>
      </w:r>
    </w:p>
    <w:p>
      <w:pPr>
        <w:spacing w:after="120"/>
        <w:ind w:firstLine="709"/>
        <w:jc w:val="both"/>
      </w:pPr>
      <w:r>
        <w:rPr>
          <w:rFonts w:ascii="Arial" w:cs="Arial" w:eastAsia="Arial" w:hAnsi="Arial"/>
          <w:sz w:val="24"/>
          <w:szCs w:val="24"/>
        </w:rPr>
        <w:t xml:space="preserve">Не допускается использование средств Фонда на проведение мероприятий, не предусмотренных настоящим Типовым положением.</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Проекты по жилищному обеспечению граждан Кыргызской Республики, планируемые к реализации в сотрудничестве с ОАО «ГИК», не являются инфраструктурными проектами и не требуют заполнения соответствующей заявки.</w:t>
      </w:r>
    </w:p>
    <w:p>
      <w:pPr>
        <w:spacing w:after="120"/>
        <w:ind w:firstLine="709"/>
        <w:jc w:val="both"/>
      </w:pPr>
      <w:r>
        <w:rPr>
          <w:rFonts w:ascii="Arial" w:cs="Arial" w:eastAsia="Arial" w:hAnsi="Arial"/>
          <w:sz w:val="24"/>
          <w:szCs w:val="24"/>
        </w:rPr>
        <w:t xml:space="preserve">При этом ОАО «ГИК» направляет письменное обращение в исполнительный орган Фонда с приложением соответствующих документов для дальнейшего рассмотрения Наблюдательным советом Фонда.</w:t>
      </w:r>
    </w:p>
    <w:p>
      <w:pPr>
        <w:spacing w:after="120"/>
        <w:ind w:firstLine="709"/>
        <w:jc w:val="both"/>
      </w:pPr>
      <w:r>
        <w:rPr>
          <w:rFonts w:ascii="Arial" w:cs="Arial" w:eastAsia="Arial" w:hAnsi="Arial"/>
          <w:sz w:val="24"/>
          <w:szCs w:val="24"/>
        </w:rPr>
        <w:t xml:space="preserve">Все организационно-технические условия проекта по жилищному обеспечению граждан Кыргызской Республики, в том числе порядок финансирования проекта, срок возврата средств Фонда, обязанности дополнительных сторон, участвующих в реализации проекта, определяются соответствующим финансовым соглашением.</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Прогнозируемый годовой бюджет Фондов на бюджетных и специальных счетах подлежат распределению в обязательном порядке по следующим категориям расходов: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4490"/>
        <w:gridCol w:w="5090"/>
      </w:tblGrid>
      <w:tr>
        <w:tc>
          <w:tcPr>
            <w:tcW w:type="dxa" w:w="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категорий расходов Фонда</w:t>
            </w:r>
          </w:p>
        </w:tc>
        <w:tc>
          <w:tcPr>
            <w:tcW w:type="dxa" w:w="50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Прогнозируемый годовой бюджет Фонда, %</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 исполнительного органа Фонда</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n1</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 проекты </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n2</w:t>
            </w:r>
          </w:p>
          <w:p>
            <w:pPr>
              <w:jc w:val="left"/>
            </w:pPr>
            <w:r>
              <w:rPr>
                <w:rFonts w:ascii="Arial" w:cs="Arial" w:eastAsia="Arial" w:hAnsi="Arial"/>
                <w:sz w:val="24"/>
                <w:szCs w:val="24"/>
              </w:rPr>
              <w:t xml:space="preserve">– не менее 50 % средств годового бюджета Фонда направляются </w:t>
            </w:r>
          </w:p>
          <w:p>
            <w:pPr>
              <w:jc w:val="left"/>
            </w:pPr>
            <w:r>
              <w:rPr>
                <w:rFonts w:ascii="Arial" w:cs="Arial" w:eastAsia="Arial" w:hAnsi="Arial"/>
                <w:sz w:val="24"/>
                <w:szCs w:val="24"/>
              </w:rPr>
              <w:t xml:space="preserve">на цели бюджетного кредитования, из них, не менее 5 000 000 (пять миллионов) сомов направляются на развитие сельскохозяйственного сектора</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и инфраструктурные проекты и проекты, выдвинутые в рамках государственного субсидирования местных общественных инициатив </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n3</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по жилищному обеспечению граждан Кыргызской Республики (предоставление финансовых средств Фонда ОАО «ГИК»)</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n4</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предупреждению и ликвидации чрезвычайных ситуаций</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n5 </w:t>
            </w:r>
          </w:p>
          <w:p>
            <w:pPr>
              <w:jc w:val="center"/>
            </w:pPr>
            <w:r>
              <w:rPr>
                <w:rFonts w:ascii="Arial" w:cs="Arial" w:eastAsia="Arial" w:hAnsi="Arial"/>
                <w:sz w:val="24"/>
                <w:szCs w:val="24"/>
              </w:rPr>
              <w:t xml:space="preserve">(в пределах 3–8 %)</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50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n1 + n2 + n3 + n4 + n5 = 100 %</w:t>
            </w:r>
          </w:p>
        </w:tc>
      </w:tr>
    </w:tbl>
    <w:p>
      <w:pPr>
        <w:spacing w:after="120" w:before="120"/>
        <w:ind w:firstLine="709"/>
        <w:jc w:val="both"/>
      </w:pPr>
      <w:r>
        <w:rPr>
          <w:rFonts w:ascii="Arial" w:cs="Arial" w:eastAsia="Arial" w:hAnsi="Arial"/>
          <w:sz w:val="24"/>
          <w:szCs w:val="24"/>
        </w:rPr>
        <w:t xml:space="preserve">По каждой категории расходов средств Фонда процент от общей суммы прогнозируемого годового бюджета Фонда определяется и утверждается решением Наблюдательного совета Фонда не позднее </w:t>
      </w:r>
      <w:r>
        <w:rPr>
          <w:rFonts w:ascii="Arial" w:cs="Arial" w:eastAsia="Arial" w:hAnsi="Arial"/>
          <w:sz w:val="24"/>
          <w:szCs w:val="24"/>
        </w:rPr>
        <w:t xml:space="preserve">
 30 января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Органы управления финансовыми средствами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Органами управления финансовыми средствами Фонда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высший орган управления – Наблюдательный совет Фонда;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исполнительный орган – территориальные подразделения уполномоченного государственного органа по прогнозированию и исполнению бюджета (далее – исполнительный орган Фонда).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Полномочия Наблюдательного совета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Полномочиями Наблюдательного совета Фонда являются: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рассмотрение и утверждение основных направлений и приоритетов использования средств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отбор и утверждение проектов;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отбор субъектов для предоставления </w:t>
      </w:r>
      <w:r>
        <w:rPr>
          <w:rFonts w:ascii="Arial" w:cs="Arial" w:eastAsia="Arial" w:hAnsi="Arial"/>
          <w:sz w:val="24"/>
          <w:szCs w:val="24"/>
        </w:rPr>
        <w:t xml:space="preserve">поручительства 
 в соответствии с Порядком предоставления поручительства субъектам национальной экономики, утвержденным решением Кабинета Министров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принятие решения о заключении или расторжении финансового соглашения между исполнительным органом Фонда и ОАО «ГИК» о получении денежных средств Фонда для реализации проектов по жилищному обеспечению граждан Кыргызской Республики;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принятие решения о проведении аудита использования средств Фонда;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утверждение порядка подачи, рассмотрения и принятия решений по претензиям участников конкурсного отбора;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рассмотрение жалоб и заявлений участников конкурсного отбора;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утверждение </w:t>
      </w:r>
      <w:r>
        <w:rPr>
          <w:rFonts w:ascii="Arial" w:cs="Arial" w:eastAsia="Arial" w:hAnsi="Arial"/>
          <w:sz w:val="24"/>
          <w:szCs w:val="24"/>
        </w:rPr>
        <w:t xml:space="preserve">сметы расходов Фонда по бюджетным средствам и средствам специального счета на каждый финансовый год с учетом ожидаемого поступления средств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утверждение методики проведения мониторинга и оценки эффективности использования средств Фонда;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рассмотрение, утверждение состава группы для проведения мониторинга и оценки эффективности использования средств Фонда и заслушивание отчета мониторинговой группы;</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принятие решения о реализации проекта в соответствии с Законом Кыргызской Республики «О государственных закупках»;</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осуществление контроля за целевым использованием денежных средств Фонда;</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заслушивание и утверждение отчета исполнительного органа Фонда об использовании средств фонда на бюджетных и специальных счетах.</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Наблюдательный совет Фонда для осуществления возложенных на него полномочий имеет право:</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запрашивать необходимую для осуществления своей деятельности информацию у исполнительного органа Фонда и мониторинговой группы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отправлять на доработку документы, представленные исполнительным органом и мониторинговой группой Фонда;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Организация деятельности Наблюдательного совета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Члены Наблюдательного совета Фонда участвуют в его работе на общественных началах.</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Членство представителя органа/организации, включенного в состав Наблюдательного совета Фонда, подтверждается официальным письмом соответствующего органа/организации с указанием фамилии, имени, отчества, должности представителя, а также причины в случае замены.</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Число членов Наблюдательного совета Фонда составляет не менее 9 человек.</w:t>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В состав Наблюдательного совета Фонда развития области входят: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по прогнозированию и исполнению бюджета;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по экономическому прогнозированию;</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в области содействия занятости населения;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в области охраны окружающей среды;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w:t>
      </w:r>
      <w:r>
        <w:rPr>
          <w:rFonts w:ascii="Arial" w:cs="Arial" w:eastAsia="Arial" w:hAnsi="Arial"/>
          <w:sz w:val="24"/>
          <w:szCs w:val="24"/>
        </w:rPr>
        <w:t xml:space="preserve">по реализации государственной политики в сфере градостроительства, архитектурно-строительной деятельности и жилищно-коммунального хозяйства;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представители коммерческих и некоммерческих организаций, включенные в состав Наблюдательного совета Фонда по предложению полномочного представителя Президента Кыргызской Республики в области, в количестве до 30 процентов от общего числа членов Наблюдательного совета Фонда;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председатели местных кенешей айылных аймаков и городов областного, районного значения в количестве 30 процентов от общего состава членов Наблюдательного совета Фонда.</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В состав Наблюдательного совета Фондов развития района входят:</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глава местной государственной администрации;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по прогнозированию и исполнению бюджета;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представитель структурного подразделения местной государственной администрации района в сфере экономики;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в области содействия занятости населения;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в сфере агропромышленного комплекса;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представитель территориального подразделения уполномоченного государственного органа по реализации государственной политики в сфере градостроительства, архитектурно-строительной деятельности и жилищно-коммунального хозяйства;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процентов от общего числа членов Наблюдательного совета Фонда;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председатели местных кенешей айылных аймаков и городов областного, районного значения в количестве 30 процентов от общего состава членов Наблюдательного совета Фонда.</w:t>
      </w:r>
    </w:p>
    <w:p>
      <w:pPr>
        <w:spacing w:after="120"/>
        <w:ind w:firstLine="709"/>
        <w:jc w:val="both"/>
      </w:pPr>
      <w:r>
        <w:rPr>
          <w:rFonts w:ascii="Arial" w:cs="Arial" w:eastAsia="Arial" w:hAnsi="Arial"/>
          <w:sz w:val="24"/>
          <w:szCs w:val="24"/>
        </w:rPr>
        <w:t xml:space="preserve">21.</w:t>
      </w:r>
      <w:r>
        <w:rPr>
          <w:rFonts w:ascii="Arial" w:cs="Arial" w:eastAsia="Arial" w:hAnsi="Arial"/>
          <w:sz w:val="24"/>
          <w:szCs w:val="24"/>
        </w:rPr>
        <w:t xml:space="preserve">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 на основании решения полномочного представителя Президента Кыргызской Республики в области.</w:t>
      </w:r>
    </w:p>
    <w:p>
      <w:pPr>
        <w:spacing w:after="120"/>
        <w:ind w:firstLine="709"/>
        <w:jc w:val="both"/>
      </w:pPr>
      <w:r>
        <w:rPr>
          <w:rFonts w:ascii="Arial" w:cs="Arial" w:eastAsia="Arial" w:hAnsi="Arial"/>
          <w:sz w:val="24"/>
          <w:szCs w:val="24"/>
        </w:rPr>
        <w:t xml:space="preserve">22.</w:t>
      </w:r>
      <w:r>
        <w:rPr>
          <w:rFonts w:ascii="Arial" w:cs="Arial" w:eastAsia="Arial" w:hAnsi="Arial"/>
          <w:sz w:val="24"/>
          <w:szCs w:val="24"/>
        </w:rPr>
        <w:t xml:space="preserve">Председателем Наблюдательного совета Фонда развития района является глава местной государственной администрации.</w:t>
      </w:r>
    </w:p>
    <w:p>
      <w:pPr>
        <w:spacing w:after="120"/>
        <w:ind w:firstLine="709"/>
        <w:jc w:val="both"/>
      </w:pPr>
      <w:r>
        <w:rPr>
          <w:rFonts w:ascii="Arial" w:cs="Arial" w:eastAsia="Arial" w:hAnsi="Arial"/>
          <w:sz w:val="24"/>
          <w:szCs w:val="24"/>
        </w:rPr>
        <w:t xml:space="preserve">23.</w:t>
      </w:r>
      <w:r>
        <w:rPr>
          <w:rFonts w:ascii="Arial" w:cs="Arial" w:eastAsia="Arial" w:hAnsi="Arial"/>
          <w:sz w:val="24"/>
          <w:szCs w:val="24"/>
        </w:rPr>
        <w:t xml:space="preserve">Состав Наблюдательного совета Фонда развития области утверждается решением полномочного представителя Президента Кыргызской Республики в области на срок не менее 3 лет.</w:t>
      </w:r>
    </w:p>
    <w:p>
      <w:pPr>
        <w:spacing w:after="120"/>
        <w:ind w:firstLine="709"/>
        <w:jc w:val="both"/>
      </w:pPr>
      <w:r>
        <w:rPr>
          <w:rFonts w:ascii="Arial" w:cs="Arial" w:eastAsia="Arial" w:hAnsi="Arial"/>
          <w:sz w:val="24"/>
          <w:szCs w:val="24"/>
        </w:rPr>
        <w:t xml:space="preserve">Состав Наблюдательного совета Фонда развития района утверждается решением главы местной государственной администрации на срок не менее 3 лет.</w:t>
      </w:r>
    </w:p>
    <w:p>
      <w:pPr>
        <w:spacing w:after="120"/>
        <w:ind w:firstLine="709"/>
        <w:jc w:val="both"/>
      </w:pPr>
      <w:r>
        <w:rPr>
          <w:rFonts w:ascii="Arial" w:cs="Arial" w:eastAsia="Arial" w:hAnsi="Arial"/>
          <w:sz w:val="24"/>
          <w:szCs w:val="24"/>
        </w:rPr>
        <w:t xml:space="preserve">24.</w:t>
      </w:r>
      <w:r>
        <w:rPr>
          <w:rFonts w:ascii="Arial" w:cs="Arial" w:eastAsia="Arial" w:hAnsi="Arial"/>
          <w:sz w:val="24"/>
          <w:szCs w:val="24"/>
        </w:rPr>
        <w:t xml:space="preserve">Члены Наблюдательного совета Фонда несут персональную ответственность за принимаемые Наблюдательным советом Фонда решения по отбору, оценке, утверждению проектов и предоставлению поручительств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Заседания Наблюдательного совета Фонда созываются по мере необходимости.</w:t>
      </w:r>
    </w:p>
    <w:p>
      <w:pPr>
        <w:spacing w:after="120"/>
        <w:ind w:firstLine="709"/>
        <w:jc w:val="both"/>
      </w:pPr>
      <w:r>
        <w:rPr>
          <w:rFonts w:ascii="Arial" w:cs="Arial" w:eastAsia="Arial" w:hAnsi="Arial"/>
          <w:sz w:val="24"/>
          <w:szCs w:val="24"/>
        </w:rPr>
        <w:t xml:space="preserve">26.</w:t>
      </w:r>
      <w:r>
        <w:rPr>
          <w:rFonts w:ascii="Arial" w:cs="Arial" w:eastAsia="Arial" w:hAnsi="Arial"/>
          <w:sz w:val="24"/>
          <w:szCs w:val="24"/>
        </w:rPr>
        <w:t xml:space="preserve">Заседание Наблюдательного совета Фонда считается правомочным, если на нем присутствует не менее половины его состава.</w:t>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Решение Наблюдательного совета Фонда по вопросам, входящим в его компетенцию, принимается простым большинством голосов присутствовавших на заседании членов Наблюдательного совета Фонда. В случае равенства голосов решающим является голос председательствующего на заседании Наблюдательного совета Фонда.</w:t>
      </w:r>
    </w:p>
    <w:p>
      <w:pPr>
        <w:spacing w:after="120"/>
        <w:ind w:firstLine="709"/>
        <w:jc w:val="both"/>
      </w:pPr>
      <w:r>
        <w:rPr>
          <w:rFonts w:ascii="Arial" w:cs="Arial" w:eastAsia="Arial" w:hAnsi="Arial"/>
          <w:sz w:val="24"/>
          <w:szCs w:val="24"/>
        </w:rPr>
        <w:t xml:space="preserve">28.</w:t>
      </w:r>
      <w:r>
        <w:rPr>
          <w:rFonts w:ascii="Arial" w:cs="Arial" w:eastAsia="Arial" w:hAnsi="Arial"/>
          <w:sz w:val="24"/>
          <w:szCs w:val="24"/>
        </w:rPr>
        <w:t xml:space="preserve">Заседания Наблюдательного совета Фонда протоколируются секретарем Наблюдательного совета Фонда, являющимся сотрудником Исполнительного органа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и секретарем. Оригиналы протоколов хранятся в исполнительном органе Фонда.</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Информация о созыве заседания Наблюдательного совета Фонда с указанием повестки дня, времени и места проведения должна быть доведена исполнительным органом Фонда до сведения членов Наблюдательного совета Фонда не позднее чем за десять календарных дней до даты проведения заседания.</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Допускается компенсировать транспортные расходы и расходы на проживание членов Наблюдательного совета Фонда в период проведения мониторинга реализации проектов в рамках лимита, установленного для административных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Допускается проведение заседаний Наблюдательного совета Фонда путем использования системы видеоконференцсвязи.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3. Исполнительный орган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Исполнительный орган Фонда обеспечивает надлежащее исполнение решений Наблюдательного совета Фонда по вопросам финансирования и реализации проектов.</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Исполнительный орган Фонда: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осуществляет финансовые операции по реализации проектов на основе решения Наблюдательного совета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несет дисциплинарную ответственность за неисполнение или ненадлежащее исполнение обязанностей, связанных с финансированием и реализацией проектов, за исключением экономических проектов;</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 запросу членов Наблюдательного совета Фонда предоставляет информацию об использовании средств Фонда;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открывает бюджетный и специальный счета Фонда в системе казначейства;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проводит предварительный отбор проектов, поступивших от заявителей на предмет полноты представленных документов;</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 решению Наблюдательного совета Фонда обеспечивает подписание финансового соглашения Фонда с ОАО «ГИК» и другими участниками проекта по жилищному обеспечению граждан Кыргызской Республики;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приостанавливает финансирование в случаях нарушения исполнителем проекта условий договора или процедур реализации проекта;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ведет учет и отчетность по движению денежных средств Фонда в порядке, установленном бюджетным законодательством Кыргызской Республики;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по решению Наблюдательного совета Фонда нанимает консультантов для осуществления мониторинга эффективности реализации проектов, отобранных Наблюдательным советом Фонда;</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разрабатывает и вносит на заседание Наблюдательного совета Фонда проект прогнозируемого годового бюджета Фонда, перечень социальных, инфраструктурных, экономических проектов, а также перечень субъектов на предоставление поручительства;</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разрабатывает, представляет на рассмотрение и утверждение Наблюдательного совета Фонда проект сметы расходов, связанных с реализацией функций исполнительного органа Фонда на предстоящий год;</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проводит работу по организации заседаний Наблюдательного совета Фонда;</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подготавливает информацию для аудита;</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обеспечивает мониторинг реализации проектов, одобренных Наблюдательным советом Фонда;</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осуществляет иные функции и полномочия, направленные на реализацию настоящего Типового положения на основании решений Наблюдательного совета Фонда.</w:t>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Руководитель территориального подразделения уполномоченного государственного органа по прогнозированию и исполнению бюджета выступает в качестве главы исполнительного органа Фонда и в соответствии с решениями Наблюдательного совета Фонда: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подписывает от имени Фонда двухсторонние договоры с победителями конкурса по отбору проектов, за исключением экономических проектов;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подписывает финансовые соглашения с ОАО «ГИК» на основании решения Наблюдательного совета Фонда;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подписывает платежные документы при финансировании проектов;</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на основании решений Наблюдательного совета Фонда осуществляет иные функции и полномочия, направленные на реализацию настоящего Типового положения.</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Исполнительный орган Фонда ежеквартально публикует в официальных изданиях информацию об использовании средств Фонда, а также размещает эту информацию на веб-сайте (при наличии)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Ежеквартально и по итогам каждого года Исполнительный орган Фонда подготавливает и представляет на рассмотрение Наблюдательного совета Фонда и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 отчет об использовании средств Фонда за отчетный год и отчет о реализации проектов.</w:t>
      </w:r>
    </w:p>
    <w:p>
      <w:pPr>
        <w:spacing w:after="120"/>
        <w:ind w:firstLine="709"/>
        <w:jc w:val="both"/>
      </w:pPr>
      <w:r>
        <w:rPr>
          <w:rFonts w:ascii="Arial" w:cs="Arial" w:eastAsia="Arial" w:hAnsi="Arial"/>
          <w:sz w:val="24"/>
          <w:szCs w:val="24"/>
        </w:rPr>
        <w:t xml:space="preserve">39.</w:t>
      </w:r>
      <w:r>
        <w:rPr>
          <w:rFonts w:ascii="Arial" w:cs="Arial" w:eastAsia="Arial" w:hAnsi="Arial"/>
          <w:sz w:val="24"/>
          <w:szCs w:val="24"/>
        </w:rPr>
        <w:t xml:space="preserve">В начале каждого года, не позднее 30 января текущего года, Исполнительный орган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поступлений в Фонд денежных средств.</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Порядок представления проектов для финансирования за счет средств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Порядок подачи проектной заявки на финансирование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Информация о приеме проектных заявок на финансирование социальных и инфраструктурных проектов и проектов, выдвинутых в рамках государственного субсидирования местных общественных инициатив,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Заявитель оформляет проектную заявку (в электронном или бумажном формате) на получение финансирования для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709"/>
        <w:jc w:val="both"/>
      </w:pPr>
      <w:r>
        <w:rPr>
          <w:rFonts w:ascii="Arial" w:cs="Arial" w:eastAsia="Arial" w:hAnsi="Arial"/>
          <w:sz w:val="24"/>
          <w:szCs w:val="24"/>
        </w:rPr>
        <w:t xml:space="preserve">Проектная заявка, поданная на рассмотрение Фонда и касающаяся объекта муниципальной собственности, утверждается решением местного кенеша.</w:t>
      </w:r>
    </w:p>
    <w:p>
      <w:pPr>
        <w:spacing w:after="120"/>
        <w:ind w:firstLine="709"/>
        <w:jc w:val="both"/>
      </w:pPr>
      <w:r>
        <w:rPr>
          <w:rFonts w:ascii="Arial" w:cs="Arial" w:eastAsia="Arial" w:hAnsi="Arial"/>
          <w:sz w:val="24"/>
          <w:szCs w:val="24"/>
        </w:rPr>
        <w:t xml:space="preserve">Проектная заявка в отношении объекта государственной собственности утверждается решением соответствующего государственного органа.</w:t>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Исполнительный орган Фонда регистрирует поступившие проектные заявки с предоставлением заявителям подтверждения о регистрации и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120"/>
        <w:ind w:firstLine="709"/>
        <w:jc w:val="both"/>
      </w:pPr>
      <w:r>
        <w:rPr>
          <w:rFonts w:ascii="Arial" w:cs="Arial" w:eastAsia="Arial" w:hAnsi="Arial"/>
          <w:sz w:val="24"/>
          <w:szCs w:val="24"/>
        </w:rPr>
        <w:t xml:space="preserve">Исполнительный орган Фонда имеет право уточнить информацию у заявителя или запросить дополнительные документы.</w:t>
      </w:r>
    </w:p>
    <w:p>
      <w:pPr>
        <w:spacing w:after="120"/>
        <w:ind w:firstLine="709"/>
        <w:jc w:val="both"/>
      </w:pPr>
      <w:r>
        <w:rPr>
          <w:rFonts w:ascii="Arial" w:cs="Arial" w:eastAsia="Arial" w:hAnsi="Arial"/>
          <w:sz w:val="24"/>
          <w:szCs w:val="24"/>
        </w:rPr>
        <w:t xml:space="preserve">43.</w:t>
      </w:r>
      <w:r>
        <w:rPr>
          <w:rFonts w:ascii="Arial" w:cs="Arial" w:eastAsia="Arial" w:hAnsi="Arial"/>
          <w:sz w:val="24"/>
          <w:szCs w:val="24"/>
        </w:rPr>
        <w:t xml:space="preserve">Исполнительный орган Фонда прилагает к каждой поступившей проектной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120"/>
        <w:ind w:firstLine="709"/>
        <w:jc w:val="both"/>
      </w:pPr>
      <w:r>
        <w:rPr>
          <w:rFonts w:ascii="Arial" w:cs="Arial" w:eastAsia="Arial" w:hAnsi="Arial"/>
          <w:sz w:val="24"/>
          <w:szCs w:val="24"/>
        </w:rPr>
        <w:t xml:space="preserve">44.</w:t>
      </w:r>
      <w:r>
        <w:rPr>
          <w:rFonts w:ascii="Arial" w:cs="Arial" w:eastAsia="Arial" w:hAnsi="Arial"/>
          <w:sz w:val="24"/>
          <w:szCs w:val="24"/>
        </w:rPr>
        <w:t xml:space="preserve">Предельный срок приема проектных заявок на предстоящий год устанавливается не позднее 15 ноября текущего года.</w:t>
      </w:r>
    </w:p>
    <w:p>
      <w:pPr>
        <w:spacing w:after="120"/>
        <w:ind w:firstLine="709"/>
        <w:jc w:val="both"/>
      </w:pPr>
      <w:r>
        <w:rPr>
          <w:rFonts w:ascii="Arial" w:cs="Arial" w:eastAsia="Arial" w:hAnsi="Arial"/>
          <w:sz w:val="24"/>
          <w:szCs w:val="24"/>
        </w:rPr>
        <w:t xml:space="preserve">45.</w:t>
      </w:r>
      <w:r>
        <w:rPr>
          <w:rFonts w:ascii="Arial" w:cs="Arial" w:eastAsia="Arial" w:hAnsi="Arial"/>
          <w:sz w:val="24"/>
          <w:szCs w:val="24"/>
        </w:rPr>
        <w:t xml:space="preserve">Наблюдательный совет Фонда не позднее 15 декабря текущего года проводит заседание по отбору и утверждению проектов.</w:t>
      </w:r>
    </w:p>
    <w:p>
      <w:pPr>
        <w:spacing w:after="120"/>
        <w:ind w:firstLine="709"/>
        <w:jc w:val="both"/>
      </w:pPr>
      <w:r>
        <w:rPr>
          <w:rFonts w:ascii="Arial" w:cs="Arial" w:eastAsia="Arial" w:hAnsi="Arial"/>
          <w:sz w:val="24"/>
          <w:szCs w:val="24"/>
        </w:rPr>
        <w:t xml:space="preserve">46.</w:t>
      </w:r>
      <w:r>
        <w:rPr>
          <w:rFonts w:ascii="Arial" w:cs="Arial" w:eastAsia="Arial" w:hAnsi="Arial"/>
          <w:sz w:val="24"/>
          <w:szCs w:val="24"/>
        </w:rPr>
        <w:t xml:space="preserve">Исполнительный орган Фонда не позднее чем за пять дней до начала заседания Наблюдательного совета Фонда направляет копии проектных заявок с приложением заключений всем членам Наблюдательного совета Фонда для предварительного изучения.</w:t>
      </w:r>
    </w:p>
    <w:p>
      <w:pPr>
        <w:spacing w:after="120"/>
        <w:ind w:firstLine="709"/>
        <w:jc w:val="both"/>
      </w:pPr>
      <w:r>
        <w:rPr>
          <w:rFonts w:ascii="Arial" w:cs="Arial" w:eastAsia="Arial" w:hAnsi="Arial"/>
          <w:sz w:val="24"/>
          <w:szCs w:val="24"/>
        </w:rPr>
        <w:t xml:space="preserve">47.</w:t>
      </w:r>
      <w:r>
        <w:rPr>
          <w:rFonts w:ascii="Arial" w:cs="Arial" w:eastAsia="Arial" w:hAnsi="Arial"/>
          <w:sz w:val="24"/>
          <w:szCs w:val="24"/>
        </w:rPr>
        <w:t xml:space="preserve">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социальных и инфраструктурных проектов и проектов, выдвинутых в рамках государственного субсидирования местных общественных инициатив.</w:t>
      </w:r>
    </w:p>
    <w:p>
      <w:pPr>
        <w:spacing w:after="120"/>
        <w:ind w:firstLine="709"/>
        <w:jc w:val="both"/>
      </w:pPr>
      <w:r>
        <w:rPr>
          <w:rFonts w:ascii="Arial" w:cs="Arial" w:eastAsia="Arial" w:hAnsi="Arial"/>
          <w:sz w:val="24"/>
          <w:szCs w:val="24"/>
        </w:rPr>
        <w:t xml:space="preserve">48.</w:t>
      </w:r>
      <w:r>
        <w:rPr>
          <w:rFonts w:ascii="Arial" w:cs="Arial" w:eastAsia="Arial" w:hAnsi="Arial"/>
          <w:sz w:val="24"/>
          <w:szCs w:val="24"/>
        </w:rPr>
        <w:t xml:space="preserve">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120"/>
        <w:ind w:firstLine="709"/>
        <w:jc w:val="both"/>
      </w:pPr>
      <w:r>
        <w:rPr>
          <w:rFonts w:ascii="Arial" w:cs="Arial" w:eastAsia="Arial" w:hAnsi="Arial"/>
          <w:sz w:val="24"/>
          <w:szCs w:val="24"/>
        </w:rPr>
        <w:t xml:space="preserve">49.</w:t>
      </w: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 перечень проектов с суммарным бюджетом, не превышающим прогнозируемый годовой бюджет Фонда в предстоящем году, предусмотренный для финансирования социальных и инфраструктурных проектов и проектов, выдвинутых в рамках государственного субсидирования местных общественных инициатив, в процентном соотношении согласно пункту 12 настоящего Типового положения.</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Перечень проектов утверждается протоколом заседания Наблюдательного совета Фонда и направляется в уполномоченный государственный орган по вопросам прогнозирования и исполнения бюджета в срок, определенный в пункте 79 настоящего Типового положения.</w:t>
      </w:r>
    </w:p>
    <w:p>
      <w:pPr>
        <w:spacing w:after="120"/>
        <w:ind w:firstLine="709"/>
        <w:jc w:val="both"/>
      </w:pPr>
      <w:r>
        <w:rPr>
          <w:rFonts w:ascii="Arial" w:cs="Arial" w:eastAsia="Arial" w:hAnsi="Arial"/>
          <w:sz w:val="24"/>
          <w:szCs w:val="24"/>
        </w:rPr>
        <w:t xml:space="preserve">51.</w:t>
      </w:r>
      <w:r>
        <w:rPr>
          <w:rFonts w:ascii="Arial" w:cs="Arial" w:eastAsia="Arial" w:hAnsi="Arial"/>
          <w:sz w:val="24"/>
          <w:szCs w:val="24"/>
        </w:rPr>
        <w:t xml:space="preserve">Решение о внесении изменений и дополнений в утвержденный перечень проектов в течение текущего года принимается 2/3 голосов членов Наблюдательного совета Фонда из числа присутствующих на заседании.</w:t>
      </w:r>
    </w:p>
    <w:p>
      <w:pPr>
        <w:spacing w:after="120"/>
        <w:ind w:firstLine="709"/>
        <w:jc w:val="both"/>
      </w:pPr>
      <w:r>
        <w:rPr>
          <w:rFonts w:ascii="Arial" w:cs="Arial" w:eastAsia="Arial" w:hAnsi="Arial"/>
          <w:sz w:val="24"/>
          <w:szCs w:val="24"/>
        </w:rPr>
        <w:t xml:space="preserve">52.</w:t>
      </w:r>
      <w:r>
        <w:rPr>
          <w:rFonts w:ascii="Arial" w:cs="Arial" w:eastAsia="Arial" w:hAnsi="Arial"/>
          <w:sz w:val="24"/>
          <w:szCs w:val="24"/>
        </w:rPr>
        <w:t xml:space="preserve">Исключительными основаниями для изменения рейтинга проектов или перечня заявленных проектов являются:</w:t>
      </w:r>
    </w:p>
    <w:p>
      <w:pPr>
        <w:spacing w:after="120"/>
        <w:ind w:firstLine="709"/>
        <w:jc w:val="both"/>
      </w:pPr>
      <w:r>
        <w:rPr>
          <w:rFonts w:ascii="Arial" w:cs="Arial" w:eastAsia="Arial" w:hAnsi="Arial"/>
          <w:sz w:val="24"/>
          <w:szCs w:val="24"/>
        </w:rPr>
        <w:t xml:space="preserve">1) наличие подтвержденных фактов нарушения процедур отбора проектов;</w:t>
      </w:r>
    </w:p>
    <w:p>
      <w:pPr>
        <w:spacing w:after="120"/>
        <w:ind w:firstLine="709"/>
        <w:jc w:val="both"/>
      </w:pPr>
      <w:r>
        <w:rPr>
          <w:rFonts w:ascii="Arial" w:cs="Arial" w:eastAsia="Arial" w:hAnsi="Arial"/>
          <w:sz w:val="24"/>
          <w:szCs w:val="24"/>
        </w:rPr>
        <w:t xml:space="preserve">2) наличие подтвержденных фактов о финансировании утвержденного проекта за счет других источников;</w:t>
      </w:r>
    </w:p>
    <w:p>
      <w:pPr>
        <w:spacing w:after="120"/>
        <w:ind w:firstLine="709"/>
        <w:jc w:val="both"/>
      </w:pPr>
      <w:r>
        <w:rPr>
          <w:rFonts w:ascii="Arial" w:cs="Arial" w:eastAsia="Arial" w:hAnsi="Arial"/>
          <w:sz w:val="24"/>
          <w:szCs w:val="24"/>
        </w:rPr>
        <w:t xml:space="preserve">3) наличие удовлетворенной Наблюдательным советом Фонда претензии со стороны других участников отбора;</w:t>
      </w:r>
    </w:p>
    <w:p>
      <w:pPr>
        <w:spacing w:after="120"/>
        <w:ind w:firstLine="709"/>
        <w:jc w:val="both"/>
      </w:pPr>
      <w:r>
        <w:rPr>
          <w:rFonts w:ascii="Arial" w:cs="Arial" w:eastAsia="Arial" w:hAnsi="Arial"/>
          <w:sz w:val="24"/>
          <w:szCs w:val="24"/>
        </w:rPr>
        <w:t xml:space="preserve">4) отказ заявителя от участия в конкурсе по отбору проектов для финансирования за счет средств Фонда.</w:t>
      </w:r>
    </w:p>
    <w:p>
      <w:pPr>
        <w:spacing w:after="120"/>
        <w:ind w:firstLine="709"/>
        <w:jc w:val="both"/>
      </w:pPr>
      <w:r>
        <w:rPr>
          <w:rFonts w:ascii="Arial" w:cs="Arial" w:eastAsia="Arial" w:hAnsi="Arial"/>
          <w:sz w:val="24"/>
          <w:szCs w:val="24"/>
        </w:rPr>
        <w:t xml:space="preserve">53.</w:t>
      </w:r>
      <w:r>
        <w:rPr>
          <w:rFonts w:ascii="Arial" w:cs="Arial" w:eastAsia="Arial" w:hAnsi="Arial"/>
          <w:sz w:val="24"/>
          <w:szCs w:val="24"/>
        </w:rPr>
        <w:t xml:space="preserve">По итогам отбора проектов руководитель территориального подразделения уполномоченного государственного органа по прогнозированию и исполнению бюджета в качестве главы исполнительного органа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Порядок подачи проектной заявки на финансирование экономических проектов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54.</w:t>
      </w:r>
      <w:r>
        <w:rPr>
          <w:rFonts w:ascii="Arial" w:cs="Arial" w:eastAsia="Arial" w:hAnsi="Arial"/>
          <w:sz w:val="24"/>
          <w:szCs w:val="24"/>
        </w:rPr>
        <w:t xml:space="preserve">Исполнительный орган Фонда осуществляет прием заявок на финансирование экономических проектов от субъектов предпринимательства по мере поступления. </w:t>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Исполнительный орган Фонда производит регистрацию заявок с соответствующим уведомлением заявителей и в течение 
 10 календарных дней проводит анализ поступивших проектных заявок на предмет полноты заполнения заявки, уточняет информацию у заявителя или запрашивает дополнительные документы и направляет на ознакомление членам Наблюдательного совета Фонда.</w:t>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Исполнительный орган Фонда прилагает к каждой проектной заявке свое заключение, в котором указывается соответствие заявки и ее приложений требованиям настоящего Типового положения.</w:t>
      </w:r>
    </w:p>
    <w:p>
      <w:pPr>
        <w:spacing w:after="120"/>
        <w:ind w:firstLine="709"/>
        <w:jc w:val="both"/>
      </w:pPr>
      <w:r>
        <w:rPr>
          <w:rFonts w:ascii="Arial" w:cs="Arial" w:eastAsia="Arial" w:hAnsi="Arial"/>
          <w:sz w:val="24"/>
          <w:szCs w:val="24"/>
        </w:rPr>
        <w:t xml:space="preserve">57.</w:t>
      </w:r>
      <w:r>
        <w:rPr>
          <w:rFonts w:ascii="Arial" w:cs="Arial" w:eastAsia="Arial" w:hAnsi="Arial"/>
          <w:sz w:val="24"/>
          <w:szCs w:val="24"/>
        </w:rPr>
        <w:t xml:space="preserve">Отбор проектов осуществляется членами Наблюдательного совета Фонда на заседании на основе подсчета баллов, которые выставляются в соответствии с критериями отбора экономических проектов.</w:t>
      </w:r>
    </w:p>
    <w:p>
      <w:pPr>
        <w:spacing w:after="120"/>
        <w:ind w:firstLine="709"/>
        <w:jc w:val="both"/>
      </w:pPr>
      <w:r>
        <w:rPr>
          <w:rFonts w:ascii="Arial" w:cs="Arial" w:eastAsia="Arial" w:hAnsi="Arial"/>
          <w:sz w:val="24"/>
          <w:szCs w:val="24"/>
        </w:rPr>
        <w:t xml:space="preserve">Отобранные экономические проекты должны способствовать повышению социально-экономического развития региона, увеличению промышленной базы, созданию рабочих мест из числа местного населения и поступлению дополнительных средств в соответствующие бюджеты, а также повышению экономической, продовольственной, энергетической и экологической безопасности региона.</w:t>
      </w:r>
    </w:p>
    <w:p>
      <w:pPr>
        <w:spacing w:after="120"/>
        <w:ind w:firstLine="709"/>
        <w:jc w:val="both"/>
      </w:pPr>
      <w:r>
        <w:rPr>
          <w:rFonts w:ascii="Arial" w:cs="Arial" w:eastAsia="Arial" w:hAnsi="Arial"/>
          <w:sz w:val="24"/>
          <w:szCs w:val="24"/>
        </w:rPr>
        <w:t xml:space="preserve">По выставленным баллам секретарь Наблюдательного совета Фонда определяет рейтинг проектов и формируется перечень проектов с суммарным бюджетом, не превышающим сумму финансовых средств, предназначенных для финансирования экономических проектов.</w:t>
      </w:r>
    </w:p>
    <w:p>
      <w:pPr>
        <w:spacing w:after="120"/>
        <w:ind w:firstLine="709"/>
        <w:jc w:val="both"/>
      </w:pPr>
      <w:r>
        <w:rPr>
          <w:rFonts w:ascii="Arial" w:cs="Arial" w:eastAsia="Arial" w:hAnsi="Arial"/>
          <w:sz w:val="24"/>
          <w:szCs w:val="24"/>
        </w:rPr>
        <w:t xml:space="preserve">Минимальная сумма баллов не должна быть менее 
 80 баллов согласно критериям отбора экономических проектов, 
 в противном случае экономические проекты подлежат отклонению. </w:t>
      </w:r>
    </w:p>
    <w:p>
      <w:pPr>
        <w:spacing w:after="120"/>
        <w:ind w:firstLine="709"/>
        <w:jc w:val="both"/>
      </w:pPr>
      <w:r>
        <w:rPr>
          <w:rFonts w:ascii="Arial" w:cs="Arial" w:eastAsia="Arial" w:hAnsi="Arial"/>
          <w:sz w:val="24"/>
          <w:szCs w:val="24"/>
        </w:rPr>
        <w:t xml:space="preserve">В текущий перечень в приоритетном порядке включаются проекты, поступившие и одобренные Наблюдательным советом Фонда в предыдущем квартале, но не включенные в перечень из-за недостаточности финансовых средств.</w:t>
      </w:r>
    </w:p>
    <w:p>
      <w:pPr>
        <w:spacing w:after="120"/>
        <w:ind w:firstLine="709"/>
        <w:jc w:val="both"/>
      </w:pPr>
      <w:r>
        <w:rPr>
          <w:rFonts w:ascii="Arial" w:cs="Arial" w:eastAsia="Arial" w:hAnsi="Arial"/>
          <w:sz w:val="24"/>
          <w:szCs w:val="24"/>
        </w:rPr>
        <w:t xml:space="preserve">58.</w:t>
      </w:r>
      <w:r>
        <w:rPr>
          <w:rFonts w:ascii="Arial" w:cs="Arial" w:eastAsia="Arial" w:hAnsi="Arial"/>
          <w:sz w:val="24"/>
          <w:szCs w:val="24"/>
        </w:rPr>
        <w:t xml:space="preserve">Перечень проектов утверждается протоколом заседания Наблюдательного совета Фонда и направляется уполномоченному агенту с предоставлением копии решения Наблюдательного совета Фонда. Заявители одобренных проектов уведомляются не позднее 
 трех рабочих дней после проведенного заседания Наблюдательного совета Фонда. </w:t>
      </w:r>
    </w:p>
    <w:p>
      <w:pPr>
        <w:spacing w:after="120"/>
        <w:ind w:firstLine="709"/>
        <w:jc w:val="both"/>
      </w:pPr>
      <w:r>
        <w:rPr>
          <w:rFonts w:ascii="Arial" w:cs="Arial" w:eastAsia="Arial" w:hAnsi="Arial"/>
          <w:sz w:val="24"/>
          <w:szCs w:val="24"/>
        </w:rPr>
        <w:t xml:space="preserve">59.</w:t>
      </w:r>
      <w:r>
        <w:rPr>
          <w:rFonts w:ascii="Arial" w:cs="Arial" w:eastAsia="Arial" w:hAnsi="Arial"/>
          <w:sz w:val="24"/>
          <w:szCs w:val="24"/>
        </w:rPr>
        <w:t xml:space="preserve">Заявители проектов, одобренных решением Наблюдательного совета фонда, обращаются уполномоченному агенту для дальнейшей подачи необходимых документов в соответствии с требованиями настоящего Типового положения и Положения о работе с бюджетными кредитами, утверждаемого решением Кабинета Министров Кыргызской Республики (далее – Положение о работе с бюджетными кредитами). </w:t>
      </w:r>
    </w:p>
    <w:p>
      <w:pPr>
        <w:spacing w:after="120"/>
        <w:ind w:firstLine="709"/>
        <w:jc w:val="both"/>
      </w:pPr>
      <w:r>
        <w:rPr>
          <w:rFonts w:ascii="Arial" w:cs="Arial" w:eastAsia="Arial" w:hAnsi="Arial"/>
          <w:sz w:val="24"/>
          <w:szCs w:val="24"/>
        </w:rPr>
        <w:t xml:space="preserve">60.</w:t>
      </w:r>
      <w:r>
        <w:rPr>
          <w:rFonts w:ascii="Arial" w:cs="Arial" w:eastAsia="Arial" w:hAnsi="Arial"/>
          <w:sz w:val="24"/>
          <w:szCs w:val="24"/>
        </w:rPr>
        <w:t xml:space="preserve">Уполномоченный агент осуществляет дальнейший отбор проектов для бюджетного кредитования в соответствии с требованиями настоящего Типового положения и Положения о работе с бюджетными кредитами.</w:t>
      </w:r>
    </w:p>
    <w:p>
      <w:pPr>
        <w:spacing w:after="120"/>
        <w:ind w:firstLine="709"/>
        <w:jc w:val="both"/>
      </w:pPr>
      <w:r>
        <w:rPr>
          <w:rFonts w:ascii="Arial" w:cs="Arial" w:eastAsia="Arial" w:hAnsi="Arial"/>
          <w:sz w:val="24"/>
          <w:szCs w:val="24"/>
        </w:rPr>
        <w:t xml:space="preserve">В случае соответствия установленным требованиям настоящего Типового положения и Положения о работе с бюджетными кредитами, а также при наличии всех необходимых документов уполномоченный агент заключает соответствующие кредитные договоры с заявителями. </w:t>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Проекты, не соответствующие установленным требованиям настоящего Типового положения и Положения о работе с бюджетными кредитами, могут быть возвращены со стороны уполномоченного агента для устранения недостатков. </w:t>
      </w:r>
    </w:p>
    <w:p>
      <w:pPr>
        <w:spacing w:after="120"/>
        <w:ind w:firstLine="709"/>
        <w:jc w:val="both"/>
      </w:pPr>
      <w:r>
        <w:rPr>
          <w:rFonts w:ascii="Arial" w:cs="Arial" w:eastAsia="Arial" w:hAnsi="Arial"/>
          <w:sz w:val="24"/>
          <w:szCs w:val="24"/>
        </w:rPr>
        <w:t xml:space="preserve">В случае если заявителем в течение одного календарного месяца не устранены выявленные недостатки, проект подлежит отклонению.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Порядок финансирования экономических проектов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w:t>
      </w:r>
      <w:r>
        <w:rPr>
          <w:rFonts w:ascii="Arial" w:cs="Arial" w:eastAsia="Arial" w:hAnsi="Arial"/>
          <w:sz w:val="24"/>
          <w:szCs w:val="24"/>
        </w:rPr>
        <w:t xml:space="preserve">Экономические проекты, планируемые к финансированию через уполномоченного агента в виде бюджетного кредитования, должны способствовать социально-экономическому развитию региона, а также развитию сельскохозяйственного сектора. </w:t>
      </w:r>
    </w:p>
    <w:p>
      <w:pPr>
        <w:spacing w:after="120"/>
        <w:ind w:firstLine="709"/>
        <w:jc w:val="both"/>
      </w:pPr>
      <w:r>
        <w:rPr>
          <w:rFonts w:ascii="Arial" w:cs="Arial" w:eastAsia="Arial" w:hAnsi="Arial"/>
          <w:sz w:val="24"/>
          <w:szCs w:val="24"/>
        </w:rPr>
        <w:t xml:space="preserve">Запрещается финансировать проекты, направленные на производство табака и табачной продукции, алкогольных напитков, оружия и боеприпасов, наркотических и психотропных веществ 
 (за исключением препаратов медицинского назначения) и иных товаров, изъятых из гражданского оборота или ограниченных в гражданском обороте, а также использующие принудительный и детский труд и прочие запрещенные законодательством Кыргызской Республики виды деятельности.</w:t>
      </w:r>
    </w:p>
    <w:p>
      <w:pPr>
        <w:spacing w:after="120"/>
        <w:ind w:firstLine="709"/>
        <w:jc w:val="both"/>
      </w:pPr>
      <w:r>
        <w:rPr>
          <w:rFonts w:ascii="Arial" w:cs="Arial" w:eastAsia="Arial" w:hAnsi="Arial"/>
          <w:sz w:val="24"/>
          <w:szCs w:val="24"/>
        </w:rPr>
        <w:t xml:space="preserve">Не подлежат к финансированию проекты, включающие в себя рефинансирование ранее полученных кредитных средств у финансово-кредитных организаций и на погашение ранее образовавшихся задолженностей перед бюджетом (по налогам и страховым взносам). </w:t>
      </w:r>
    </w:p>
    <w:p>
      <w:pPr>
        <w:spacing w:after="120"/>
        <w:ind w:firstLine="709"/>
        <w:jc w:val="both"/>
      </w:pPr>
      <w:r>
        <w:rPr>
          <w:rFonts w:ascii="Arial" w:cs="Arial" w:eastAsia="Arial" w:hAnsi="Arial"/>
          <w:sz w:val="24"/>
          <w:szCs w:val="24"/>
        </w:rPr>
        <w:t xml:space="preserve">63.</w:t>
      </w:r>
      <w:r>
        <w:rPr>
          <w:rFonts w:ascii="Arial" w:cs="Arial" w:eastAsia="Arial" w:hAnsi="Arial"/>
          <w:sz w:val="24"/>
          <w:szCs w:val="24"/>
        </w:rPr>
        <w:t xml:space="preserve">На финансирование одного проекта путем предоставления бюджетного кредита направляется не более 20 процентов средств Фонда, предназначенных на финансирование экономических проектов, за исключением фондов, где предусмотренный годовой бюджет на финансирование экономических проектов менее 15 000 000 (пятнадцать миллионов) сомов. </w:t>
      </w:r>
    </w:p>
    <w:p>
      <w:pPr>
        <w:spacing w:after="120"/>
        <w:ind w:firstLine="709"/>
        <w:jc w:val="both"/>
      </w:pPr>
      <w:r>
        <w:rPr>
          <w:rFonts w:ascii="Arial" w:cs="Arial" w:eastAsia="Arial" w:hAnsi="Arial"/>
          <w:sz w:val="24"/>
          <w:szCs w:val="24"/>
        </w:rPr>
        <w:t xml:space="preserve">В случае, когда стоимость экономических проектов превышает данный показатель, субъект предпринимательства привлекает софинансирование со стороны финансовых институтов для финансирования недостающей части суммы проекта.</w:t>
      </w:r>
    </w:p>
    <w:p>
      <w:pPr>
        <w:spacing w:after="120"/>
        <w:ind w:firstLine="709"/>
        <w:jc w:val="both"/>
      </w:pPr>
      <w:r>
        <w:rPr>
          <w:rFonts w:ascii="Arial" w:cs="Arial" w:eastAsia="Arial" w:hAnsi="Arial"/>
          <w:sz w:val="24"/>
          <w:szCs w:val="24"/>
        </w:rPr>
        <w:t xml:space="preserve">64.</w:t>
      </w:r>
      <w:r>
        <w:rPr>
          <w:rFonts w:ascii="Arial" w:cs="Arial" w:eastAsia="Arial" w:hAnsi="Arial"/>
          <w:sz w:val="24"/>
          <w:szCs w:val="24"/>
        </w:rPr>
        <w:t xml:space="preserve">Финансирование экономических проектов сельскохозяйственного сектора должно быть направлено на хранение, переработку и обработку сельскохозяйственной продукции, а также приобретение оборудования на цели развития агропромышленного комплекса.</w:t>
      </w:r>
    </w:p>
    <w:p>
      <w:pPr>
        <w:spacing w:after="120"/>
        <w:ind w:firstLine="709"/>
        <w:jc w:val="both"/>
      </w:pPr>
      <w:r>
        <w:rPr>
          <w:rFonts w:ascii="Arial" w:cs="Arial" w:eastAsia="Arial" w:hAnsi="Arial"/>
          <w:sz w:val="24"/>
          <w:szCs w:val="24"/>
        </w:rPr>
        <w:t xml:space="preserve">65.</w:t>
      </w:r>
      <w:r>
        <w:rPr>
          <w:rFonts w:ascii="Arial" w:cs="Arial" w:eastAsia="Arial" w:hAnsi="Arial"/>
          <w:sz w:val="24"/>
          <w:szCs w:val="24"/>
        </w:rPr>
        <w:t xml:space="preserve">Бюджетное кредитование за счет средств Фонда осуществляется уполномоченным агентом на условиях, определенных настоящим Типовым положением и Положением о работе с бюджетными кредитами, в части, не урегулированной настоящим Типовым положением.</w:t>
      </w:r>
    </w:p>
    <w:p>
      <w:pPr>
        <w:spacing w:after="120"/>
        <w:ind w:firstLine="709"/>
        <w:jc w:val="both"/>
      </w:pPr>
      <w:r>
        <w:rPr>
          <w:rFonts w:ascii="Arial" w:cs="Arial" w:eastAsia="Arial" w:hAnsi="Arial"/>
          <w:sz w:val="24"/>
          <w:szCs w:val="24"/>
        </w:rPr>
        <w:t xml:space="preserve">Для предоставления бюджетных кредитов за счет средств Фонда не требуется решение Кабинета Министров Кыргызской Республики.</w:t>
      </w:r>
    </w:p>
    <w:p>
      <w:pPr>
        <w:spacing w:after="120"/>
        <w:ind w:firstLine="709"/>
        <w:jc w:val="both"/>
      </w:pPr>
      <w:r>
        <w:rPr>
          <w:rFonts w:ascii="Arial" w:cs="Arial" w:eastAsia="Arial" w:hAnsi="Arial"/>
          <w:sz w:val="24"/>
          <w:szCs w:val="24"/>
        </w:rPr>
        <w:t xml:space="preserve">66.</w:t>
      </w:r>
      <w:r>
        <w:rPr>
          <w:rFonts w:ascii="Arial" w:cs="Arial" w:eastAsia="Arial" w:hAnsi="Arial"/>
          <w:sz w:val="24"/>
          <w:szCs w:val="24"/>
        </w:rPr>
        <w:t xml:space="preserve">Условия бюджетного кредитования за счет средств Фонда: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платность – процентная ставка за пользование кредитом – 
 2 процента годовых;</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неустойка (пени) – 6 процентов годовых;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предоставление субъектом предпринимательства обеспечения исполнения обязательств по возврату бюджетного кредита в виде ликвидного залога, банковской гарантии или иными способами обеспечения обязательств в соответствии с нормами гражданского законодательства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платежеспособность получателей бюджетных кредитов, включающая в себя:</w:t>
      </w:r>
    </w:p>
    <w:p>
      <w:pPr>
        <w:spacing w:after="120"/>
        <w:ind w:firstLine="709"/>
        <w:jc w:val="both"/>
      </w:pPr>
      <w:r>
        <w:rPr>
          <w:rFonts w:ascii="Arial" w:cs="Arial" w:eastAsia="Arial" w:hAnsi="Arial"/>
          <w:sz w:val="24"/>
          <w:szCs w:val="24"/>
        </w:rPr>
        <w:t xml:space="preserve">– отсутствие просроченной задолженности заемщика по ранее выданным бюджетным кредитам;</w:t>
      </w:r>
    </w:p>
    <w:p>
      <w:pPr>
        <w:spacing w:after="120"/>
        <w:ind w:firstLine="709"/>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срочность – бюджетные кредиты предоставляются на следующие сроки:</w:t>
      </w:r>
    </w:p>
    <w:p>
      <w:pPr>
        <w:spacing w:after="120"/>
        <w:ind w:firstLine="709"/>
        <w:jc w:val="both"/>
      </w:pPr>
      <w:r>
        <w:rPr>
          <w:rFonts w:ascii="Arial" w:cs="Arial" w:eastAsia="Arial" w:hAnsi="Arial"/>
          <w:sz w:val="24"/>
          <w:szCs w:val="24"/>
        </w:rPr>
        <w:t xml:space="preserve">– в сумме до 3 000 000 (три миллиона) сомов – до 5 лет;</w:t>
      </w:r>
    </w:p>
    <w:p>
      <w:pPr>
        <w:spacing w:after="120"/>
        <w:ind w:firstLine="709"/>
        <w:jc w:val="both"/>
      </w:pPr>
      <w:r>
        <w:rPr>
          <w:rFonts w:ascii="Arial" w:cs="Arial" w:eastAsia="Arial" w:hAnsi="Arial"/>
          <w:sz w:val="24"/>
          <w:szCs w:val="24"/>
        </w:rPr>
        <w:t xml:space="preserve">– в сумме от 3 000 000 (три миллиона) сомов до 5 000 000 (пять миллионов) сомов – до 7 лет;</w:t>
      </w:r>
    </w:p>
    <w:p>
      <w:pPr>
        <w:spacing w:after="120"/>
        <w:ind w:firstLine="709"/>
        <w:jc w:val="both"/>
      </w:pPr>
      <w:r>
        <w:rPr>
          <w:rFonts w:ascii="Arial" w:cs="Arial" w:eastAsia="Arial" w:hAnsi="Arial"/>
          <w:sz w:val="24"/>
          <w:szCs w:val="24"/>
        </w:rPr>
        <w:t xml:space="preserve">– в сумме более 5 000 000 (пять миллионов) сомов – до 10 лет;</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возрастной предел – для физических лиц и индивидуальных предпринимателей: возраст заемщика и поручителя на дату полного погашения бюджетного кредита не должен превышать 68 (шестьдесят восемь) лет.</w:t>
      </w:r>
    </w:p>
    <w:p>
      <w:pPr>
        <w:spacing w:after="120"/>
        <w:ind w:firstLine="709"/>
        <w:jc w:val="both"/>
      </w:pPr>
      <w:r>
        <w:rPr>
          <w:rFonts w:ascii="Arial" w:cs="Arial" w:eastAsia="Arial" w:hAnsi="Arial"/>
          <w:sz w:val="24"/>
          <w:szCs w:val="24"/>
        </w:rPr>
        <w:t xml:space="preserve">67.</w:t>
      </w:r>
      <w:r>
        <w:rPr>
          <w:rFonts w:ascii="Arial" w:cs="Arial" w:eastAsia="Arial" w:hAnsi="Arial"/>
          <w:sz w:val="24"/>
          <w:szCs w:val="24"/>
        </w:rPr>
        <w:t xml:space="preserve">Бюджетное кредитование стартап-проектов, направленных на решение вопросов местного значения, осуществляется в соответствии с требованиями Положения о работе с бюджетными кредитами.</w:t>
      </w:r>
    </w:p>
    <w:p>
      <w:pPr>
        <w:spacing w:after="120"/>
        <w:ind w:firstLine="709"/>
        <w:jc w:val="both"/>
      </w:pPr>
      <w:r>
        <w:rPr>
          <w:rFonts w:ascii="Arial" w:cs="Arial" w:eastAsia="Arial" w:hAnsi="Arial"/>
          <w:sz w:val="24"/>
          <w:szCs w:val="24"/>
        </w:rPr>
        <w:t xml:space="preserve">68.</w:t>
      </w:r>
      <w:r>
        <w:rPr>
          <w:rFonts w:ascii="Arial" w:cs="Arial" w:eastAsia="Arial" w:hAnsi="Arial"/>
          <w:sz w:val="24"/>
          <w:szCs w:val="24"/>
        </w:rPr>
        <w:t xml:space="preserve">Основная сумма, проценты за пользование, финансовая санкция (неустойка) по бюджетным кредитам подлежат возврату в республиканский бюджет в соответствии с условиями заключенных кредитных договоров. </w:t>
      </w:r>
    </w:p>
    <w:p>
      <w:pPr>
        <w:spacing w:after="120"/>
        <w:ind w:firstLine="709"/>
        <w:jc w:val="both"/>
      </w:pPr>
      <w:r>
        <w:rPr>
          <w:rFonts w:ascii="Arial" w:cs="Arial" w:eastAsia="Arial" w:hAnsi="Arial"/>
          <w:sz w:val="24"/>
          <w:szCs w:val="24"/>
        </w:rPr>
        <w:t xml:space="preserve">69.</w:t>
      </w:r>
      <w:r>
        <w:rPr>
          <w:rFonts w:ascii="Arial" w:cs="Arial" w:eastAsia="Arial" w:hAnsi="Arial"/>
          <w:sz w:val="24"/>
          <w:szCs w:val="24"/>
        </w:rPr>
        <w:t xml:space="preserve">Льготный период по погашению основной суммы бюджетного кредита предоставляется с учетом специфики экономического проекта на срок не более 12 месяцев. </w:t>
      </w:r>
    </w:p>
    <w:p>
      <w:pPr>
        <w:spacing w:after="120"/>
        <w:ind w:firstLine="709"/>
        <w:jc w:val="both"/>
      </w:pPr>
      <w:r>
        <w:rPr>
          <w:rFonts w:ascii="Arial" w:cs="Arial" w:eastAsia="Arial" w:hAnsi="Arial"/>
          <w:sz w:val="24"/>
          <w:szCs w:val="24"/>
        </w:rPr>
        <w:t xml:space="preserve">70.</w:t>
      </w:r>
      <w:r>
        <w:rPr>
          <w:rFonts w:ascii="Arial" w:cs="Arial" w:eastAsia="Arial" w:hAnsi="Arial"/>
          <w:sz w:val="24"/>
          <w:szCs w:val="24"/>
        </w:rPr>
        <w:t xml:space="preserve">Сроки и периодичность погашения основной суммы долга и процентов по бюджетным кредитам устанавливаются в соответствии с графиком погашения, являющимся неотъемлемой частью кредитного договора. </w:t>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Исполнительный орган Фонда: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 мере поступления осуществляет сбор заявок субъектов предпринимательства и выносит их на рассмотрение Наблюдательного совета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предоставляет уполномоченному агенту и заявителям копию решения Наблюдательного совета Фонда с перечнем одобренных экономических проектов;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в случае отклонения проекта со стороны уполномоченного агента, вносит на рассмотрение Наблюдательного совета Фонда новый перечень экономических проектов.</w:t>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Уполномоченный агент:</w:t>
      </w:r>
    </w:p>
    <w:p>
      <w:pPr>
        <w:spacing w:after="120"/>
        <w:ind w:firstLine="709"/>
        <w:jc w:val="both"/>
      </w:pPr>
      <w:r>
        <w:rPr>
          <w:rFonts w:ascii="Arial" w:cs="Arial" w:eastAsia="Arial" w:hAnsi="Arial"/>
          <w:sz w:val="24"/>
          <w:szCs w:val="24"/>
        </w:rPr>
        <w:t xml:space="preserve">1) рассматривает поступившие кредитные заявки субъектов предпринимательства, ранее одобренные решением Наблюдательного совета Фонда на предмет их соответствия требованиям, установленным настоящим Типовым положением и Положением о работе с бюджетными кредитами;</w:t>
      </w:r>
    </w:p>
    <w:p>
      <w:pPr>
        <w:spacing w:after="120"/>
        <w:ind w:firstLine="709"/>
        <w:jc w:val="both"/>
      </w:pPr>
      <w:r>
        <w:rPr>
          <w:rFonts w:ascii="Arial" w:cs="Arial" w:eastAsia="Arial" w:hAnsi="Arial"/>
          <w:sz w:val="24"/>
          <w:szCs w:val="24"/>
        </w:rPr>
        <w:t xml:space="preserve">2) заключает кредитные договоры с отобранными субъектами предпринимательства;</w:t>
      </w:r>
    </w:p>
    <w:p>
      <w:pPr>
        <w:spacing w:after="120"/>
        <w:ind w:firstLine="709"/>
        <w:jc w:val="both"/>
      </w:pPr>
      <w:r>
        <w:rPr>
          <w:rFonts w:ascii="Arial" w:cs="Arial" w:eastAsia="Arial" w:hAnsi="Arial"/>
          <w:sz w:val="24"/>
          <w:szCs w:val="24"/>
        </w:rPr>
        <w:t xml:space="preserve">3) осуществляет администрирование выданных бюджетных кредитов;</w:t>
      </w:r>
    </w:p>
    <w:p>
      <w:pPr>
        <w:spacing w:after="120"/>
        <w:ind w:firstLine="709"/>
        <w:jc w:val="both"/>
      </w:pPr>
      <w:r>
        <w:rPr>
          <w:rFonts w:ascii="Arial" w:cs="Arial" w:eastAsia="Arial" w:hAnsi="Arial"/>
          <w:sz w:val="24"/>
          <w:szCs w:val="24"/>
        </w:rPr>
        <w:t xml:space="preserve">4) несет ответственность за неисполнение или ненадлежащее исполнение обязанностей, связанных с реализацией экономических проектов и предоставлением поручительств. </w:t>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Суммы бюджетных кредитов перечисляются на счета субъектов предпринимательства (заемщики) на основании заключенных кредитных договоров по письменной заявке уполномоченного агента.</w:t>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Ежеквартально и по итогам завершения работ по экономическому проекту исполнитель проекта предоставляет </w:t>
      </w:r>
      <w:r>
        <w:rPr>
          <w:rFonts w:ascii="Arial" w:cs="Arial" w:eastAsia="Arial" w:hAnsi="Arial"/>
          <w:sz w:val="24"/>
          <w:szCs w:val="24"/>
        </w:rPr>
        <w:t xml:space="preserve">уполномоченному агенту </w:t>
      </w:r>
      <w:r>
        <w:rPr>
          <w:rFonts w:ascii="Arial" w:cs="Arial" w:eastAsia="Arial" w:hAnsi="Arial"/>
          <w:sz w:val="24"/>
          <w:szCs w:val="24"/>
        </w:rPr>
        <w:t xml:space="preserve">финансовый отчет и отчет о ходе реализации проекта по установленной форме. </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Обязательства исполнителя проекта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w:t>
      </w:r>
      <w:r>
        <w:rPr>
          <w:rFonts w:ascii="Arial" w:cs="Arial" w:eastAsia="Arial" w:hAnsi="Arial"/>
          <w:sz w:val="24"/>
          <w:szCs w:val="24"/>
        </w:rPr>
        <w:t xml:space="preserve">Исполнитель проекта обязан:</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обеспечить реализацию проекта в соответствии с заключенным договором между исполнителем проекта и исполнительным органом Фонда;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обеспечить при необходимости мобилизацию местного сообщества для участия в реализации проекта;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проводить закупки товаров, работ и услуг по проекту в соответствии с законодательством Кыргызской Республики о государственных закупках;</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обеспечить при необходимости технический надзор со стороны органов местного самоуправления за исполнением проекта;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информировать население о ходе реализации проекта на всех этапах реализации проекта на основе результатов мониторинга.</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Ежеквартально и по итогам завершения работ по проекту исполнитель проекта предоставляет исполнительному органу Фонда и/или </w:t>
      </w:r>
      <w:r>
        <w:rPr>
          <w:rFonts w:ascii="Arial" w:cs="Arial" w:eastAsia="Arial" w:hAnsi="Arial"/>
          <w:sz w:val="24"/>
          <w:szCs w:val="24"/>
        </w:rPr>
        <w:t xml:space="preserve">уполномоченному агенту </w:t>
      </w:r>
      <w:r>
        <w:rPr>
          <w:rFonts w:ascii="Arial" w:cs="Arial" w:eastAsia="Arial" w:hAnsi="Arial"/>
          <w:sz w:val="24"/>
          <w:szCs w:val="24"/>
        </w:rPr>
        <w:t xml:space="preserve">финансовый отчет и отчет о ходе реализации проекта по установленной форме.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Порядок формирования и расходования финансовых средств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Порядок формирования финансовых средств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Финансовые средства Фонда формируются:</w:t>
      </w:r>
    </w:p>
    <w:p>
      <w:pPr>
        <w:spacing w:after="120"/>
        <w:ind w:firstLine="709"/>
        <w:jc w:val="both"/>
      </w:pPr>
      <w:r>
        <w:rPr>
          <w:rFonts w:ascii="Arial" w:cs="Arial" w:eastAsia="Arial" w:hAnsi="Arial"/>
          <w:sz w:val="24"/>
          <w:szCs w:val="24"/>
        </w:rPr>
        <w:t xml:space="preserve">1) по бюджетным счетам за счет средств:</w:t>
      </w:r>
    </w:p>
    <w:p>
      <w:pPr>
        <w:spacing w:after="120"/>
        <w:ind w:firstLine="709"/>
        <w:jc w:val="both"/>
      </w:pPr>
      <w:r>
        <w:rPr>
          <w:rFonts w:ascii="Arial" w:cs="Arial" w:eastAsia="Arial" w:hAnsi="Arial"/>
          <w:sz w:val="24"/>
          <w:szCs w:val="24"/>
        </w:rPr>
        <w:t xml:space="preserve">– отчисляемых в республиканский бюджет физическими или юридическими лицами, осуществляющими разработку (добычу) месторождений полезных ископаемых, предназначенных на содержание инфраструктуры местного значения и реализацию мероприятий целевого назначения в соответствии с программами социально-экономического развития территорий, распределяемых по фондам в соответствии с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 выделяемых из республиканского бюджета, согласно пунктам 100–103 настоящего Типового положения;</w:t>
      </w:r>
    </w:p>
    <w:p>
      <w:pPr>
        <w:spacing w:after="120"/>
        <w:ind w:firstLine="709"/>
        <w:jc w:val="both"/>
      </w:pPr>
      <w:r>
        <w:rPr>
          <w:rFonts w:ascii="Arial" w:cs="Arial" w:eastAsia="Arial" w:hAnsi="Arial"/>
          <w:sz w:val="24"/>
          <w:szCs w:val="24"/>
        </w:rPr>
        <w:t xml:space="preserve">2) по специальным счетам за счет:</w:t>
      </w:r>
    </w:p>
    <w:p>
      <w:pPr>
        <w:spacing w:after="120"/>
        <w:ind w:firstLine="709"/>
        <w:jc w:val="both"/>
      </w:pPr>
      <w:r>
        <w:rPr>
          <w:rFonts w:ascii="Arial" w:cs="Arial" w:eastAsia="Arial" w:hAnsi="Arial"/>
          <w:sz w:val="24"/>
          <w:szCs w:val="24"/>
        </w:rPr>
        <w:t xml:space="preserve">– средств, полученных в результате возврата ОАО «ГИК» основного долга согласно заключенному финансовому соглашению;</w:t>
      </w:r>
    </w:p>
    <w:p>
      <w:pPr>
        <w:spacing w:after="120"/>
        <w:ind w:firstLine="709"/>
        <w:jc w:val="both"/>
      </w:pPr>
      <w:r>
        <w:rPr>
          <w:rFonts w:ascii="Arial" w:cs="Arial" w:eastAsia="Arial" w:hAnsi="Arial"/>
          <w:sz w:val="24"/>
          <w:szCs w:val="24"/>
        </w:rPr>
        <w:t xml:space="preserve">– средств, полученных в результате возврата уполномоченным агентом основной суммы бюджетного кредита, процентов и финансовых санкций (пени);</w:t>
      </w:r>
    </w:p>
    <w:p>
      <w:pPr>
        <w:spacing w:after="120"/>
        <w:ind w:firstLine="709"/>
        <w:jc w:val="both"/>
      </w:pPr>
      <w:r>
        <w:rPr>
          <w:rFonts w:ascii="Arial" w:cs="Arial" w:eastAsia="Arial" w:hAnsi="Arial"/>
          <w:sz w:val="24"/>
          <w:szCs w:val="24"/>
        </w:rPr>
        <w:t xml:space="preserve">– средств, поступающих в виде спонсорской помощи и добровольных взносов;</w:t>
      </w:r>
    </w:p>
    <w:p>
      <w:pPr>
        <w:spacing w:after="120"/>
        <w:ind w:firstLine="709"/>
        <w:jc w:val="both"/>
      </w:pPr>
      <w:r>
        <w:rPr>
          <w:rFonts w:ascii="Arial" w:cs="Arial" w:eastAsia="Arial" w:hAnsi="Arial"/>
          <w:sz w:val="24"/>
          <w:szCs w:val="24"/>
        </w:rPr>
        <w:t xml:space="preserve">– средств, поступающих в виде благотворительной или грантовой помощи;</w:t>
      </w:r>
    </w:p>
    <w:p>
      <w:pPr>
        <w:spacing w:after="120"/>
        <w:ind w:firstLine="709"/>
        <w:jc w:val="both"/>
      </w:pPr>
      <w:r>
        <w:rPr>
          <w:rFonts w:ascii="Arial" w:cs="Arial" w:eastAsia="Arial" w:hAnsi="Arial"/>
          <w:sz w:val="24"/>
          <w:szCs w:val="24"/>
        </w:rPr>
        <w:t xml:space="preserve">– средств, поступающих в виде отчислений от международных институтов для проведения совместной научно-исследовательской работы;</w:t>
      </w:r>
    </w:p>
    <w:p>
      <w:pPr>
        <w:spacing w:after="120"/>
        <w:ind w:firstLine="709"/>
        <w:jc w:val="both"/>
      </w:pPr>
      <w:r>
        <w:rPr>
          <w:rFonts w:ascii="Arial" w:cs="Arial" w:eastAsia="Arial" w:hAnsi="Arial"/>
          <w:sz w:val="24"/>
          <w:szCs w:val="24"/>
        </w:rPr>
        <w:t xml:space="preserve">– иных средств, определяемых Кабинетом Министров Кыргызской Республики.</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Прогнозные показатели по неналоговым доходам Фонда представляет уполномоченный государственный орган по прогнозированию и исполнению бюджета.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Порядок расходования денежных средств Фонда на реализацию проектов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Исполнительный орган Фонда не позднее 10 февраля текущего года вносит в уполномоченный государственный орган по прогнозированию и исполнению бюджета решение Наблюдательного совета Фонда об утверждении сметы расходов Фонда на текущий год по категориям в соответствии с пунктом 12 настоящего Типового положения.</w:t>
      </w:r>
    </w:p>
    <w:p>
      <w:pPr>
        <w:spacing w:after="120"/>
        <w:ind w:firstLine="709"/>
        <w:jc w:val="both"/>
      </w:pPr>
      <w:r>
        <w:rPr>
          <w:rFonts w:ascii="Arial" w:cs="Arial" w:eastAsia="Arial" w:hAnsi="Arial"/>
          <w:sz w:val="24"/>
          <w:szCs w:val="24"/>
        </w:rPr>
        <w:t xml:space="preserve">80.</w:t>
      </w:r>
      <w:r>
        <w:rPr>
          <w:rFonts w:ascii="Arial" w:cs="Arial" w:eastAsia="Arial" w:hAnsi="Arial"/>
          <w:sz w:val="24"/>
          <w:szCs w:val="24"/>
        </w:rPr>
        <w:t xml:space="preserve">Уполномоченный государственный орган по прогнозированию и исполнению бюджета утверждает годовые бюджеты Фондов.</w:t>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Источником формирования средств для предоставления поручительства являются средства, ежегодно предусматриваемые уполномоченным государственным органом </w:t>
      </w:r>
      <w:r>
        <w:rPr>
          <w:rFonts w:ascii="Arial" w:cs="Arial" w:eastAsia="Arial" w:hAnsi="Arial"/>
          <w:sz w:val="24"/>
          <w:szCs w:val="24"/>
        </w:rPr>
        <w:t xml:space="preserve">по прогнозированию и исполнению бюджета </w:t>
      </w:r>
      <w:r>
        <w:rPr>
          <w:rFonts w:ascii="Arial" w:cs="Arial" w:eastAsia="Arial" w:hAnsi="Arial"/>
          <w:sz w:val="24"/>
          <w:szCs w:val="24"/>
        </w:rPr>
        <w:t xml:space="preserve">путем их перечисления </w:t>
      </w:r>
      <w:r>
        <w:rPr>
          <w:rFonts w:ascii="Arial" w:cs="Arial" w:eastAsia="Arial" w:hAnsi="Arial"/>
          <w:sz w:val="24"/>
          <w:szCs w:val="24"/>
        </w:rPr>
        <w:t xml:space="preserve">на увеличение уставного капитала уполномоченного лица по предоставлению поручительства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Уполномоченное лицо по предоставлению поручительства предоставляет поручительство субъектам, осуществляющим деятельность в регионах, городах и областях республики, за исключением городов Бишкек и Ош, в соответствии с Порядком предоставления поручительства субъектам национальной экономики, утверждаемым решением Кабинета Министров Кыргызской Республики. </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Исполнительный орган Фонда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прогнозированию и исполнению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Кассовые расходы Фонда, смета расходов составляются, формируются и финансируются по статьям 3111 «Здания и сооружения» и 3214 «Кредиты, ссуды, займы» и осуществляются по упрощенным казначейским процедурам в установленном Бюджетной классификацией Кыргызской Республики порядке.</w:t>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Исполнительный орган Фонда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В случае превышения поступлений над объемом средств, утвержденных законодательством Кыргызской Республики о республиканском бюджете на соответствующий год, уточнение сметных назначений осуществляется в установленном порядке.</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Учет и отчетность о движении денежных средств Фонда ведутся в соответствии с бюджетным законодательством Кыргызской Республики.</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Финансирование социальных и инфраструктурных проектов и проектов, выдвинутых в рамках субсидирования местных общественных инициатив, осуществляется на основе двухстороннего договора, подписанного между исполнительным органом Фонда и исполнителем проекта.</w:t>
      </w:r>
    </w:p>
    <w:p>
      <w:pPr>
        <w:spacing w:after="120"/>
        <w:ind w:firstLine="709"/>
        <w:jc w:val="both"/>
      </w:pPr>
      <w:r>
        <w:rPr>
          <w:rFonts w:ascii="Arial" w:cs="Arial" w:eastAsia="Arial" w:hAnsi="Arial"/>
          <w:sz w:val="24"/>
          <w:szCs w:val="24"/>
        </w:rPr>
        <w:t xml:space="preserve">Финансирование экономических проектов осуществляется через уполномоченного агента в установленном порядке согласно законодательству Кыргызской Республики по бюджетному кредитованию и предоставлению поручительств субъектам национальной экономики. </w:t>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Финансирование проектов по жилищному обеспечению граждан Кыргызской Республики осуществляется на основе финансового соглашения, подписанного между исполнительным органом Фонда, ОАО «ГИК» и другими участниками проекта (при наличии).</w:t>
      </w:r>
    </w:p>
    <w:p>
      <w:pPr>
        <w:spacing w:after="120"/>
        <w:ind w:firstLine="709"/>
        <w:jc w:val="both"/>
      </w:pPr>
      <w:r>
        <w:rPr>
          <w:rFonts w:ascii="Arial" w:cs="Arial" w:eastAsia="Arial" w:hAnsi="Arial"/>
          <w:sz w:val="24"/>
          <w:szCs w:val="24"/>
        </w:rPr>
        <w:t xml:space="preserve">90.</w:t>
      </w:r>
      <w:r>
        <w:rPr>
          <w:rFonts w:ascii="Arial" w:cs="Arial" w:eastAsia="Arial" w:hAnsi="Arial"/>
          <w:sz w:val="24"/>
          <w:szCs w:val="24"/>
        </w:rPr>
        <w:t xml:space="preserve">Мониторинг и контроль за выплатами по проектам осуществляется исполнительным органом Фонда. Исполнительный орган Фонда в установленном порядке представляет отчеты:</w:t>
      </w:r>
    </w:p>
    <w:p>
      <w:pPr>
        <w:spacing w:after="120"/>
        <w:ind w:firstLine="709"/>
        <w:jc w:val="both"/>
      </w:pPr>
      <w:r>
        <w:rPr>
          <w:rFonts w:ascii="Arial" w:cs="Arial" w:eastAsia="Arial" w:hAnsi="Arial"/>
          <w:sz w:val="24"/>
          <w:szCs w:val="24"/>
        </w:rPr>
        <w:t xml:space="preserve">1) об исполнении сметы в уполномоченный государственный орган по прогнозированию и исполнению бюджета;</w:t>
      </w:r>
    </w:p>
    <w:p>
      <w:pPr>
        <w:spacing w:after="120"/>
        <w:ind w:firstLine="709"/>
        <w:jc w:val="both"/>
      </w:pPr>
      <w:r>
        <w:rPr>
          <w:rFonts w:ascii="Arial" w:cs="Arial" w:eastAsia="Arial" w:hAnsi="Arial"/>
          <w:sz w:val="24"/>
          <w:szCs w:val="24"/>
        </w:rPr>
        <w:t xml:space="preserve">2) о реализации проектов в уполномоченный государственный орган по экономическому прогнозированию.</w:t>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Финансирование социальных и инфраструктурных проектов и проектов, выдвинутых в рамках субсидирования местных общественных инициатив, осуществляется траншами на основе акта выполненных работ согласно графику реализации проекта, представленного исполнителем проекта исполнительному органу Фонда.</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Неосвоенные на конец текущего года остатки средств Фонда в установленном порядке возвращаются в республиканский бюджет.</w:t>
      </w:r>
    </w:p>
    <w:p>
      <w:pPr>
        <w:spacing w:after="120"/>
        <w:ind w:firstLine="709"/>
        <w:jc w:val="both"/>
      </w:pPr>
      <w:r>
        <w:rPr>
          <w:rFonts w:ascii="Arial" w:cs="Arial" w:eastAsia="Arial" w:hAnsi="Arial"/>
          <w:sz w:val="24"/>
          <w:szCs w:val="24"/>
        </w:rPr>
        <w:t xml:space="preserve">93.</w:t>
      </w:r>
      <w:r>
        <w:rPr>
          <w:rFonts w:ascii="Arial" w:cs="Arial" w:eastAsia="Arial" w:hAnsi="Arial"/>
          <w:sz w:val="24"/>
          <w:szCs w:val="24"/>
        </w:rPr>
        <w:t xml:space="preserve">Денежные средства Фонда, возвращенные ОАО «ГИК», являются остатками Фонда в текущем году и утверждаются как средства соответствующего Фонда в планируемом году.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Мониторинг и оценка использования средств Фонда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94.</w:t>
      </w:r>
      <w:r>
        <w:rPr>
          <w:rFonts w:ascii="Arial" w:cs="Arial" w:eastAsia="Arial" w:hAnsi="Arial"/>
          <w:sz w:val="24"/>
          <w:szCs w:val="24"/>
        </w:rPr>
        <w:t xml:space="preserve">Мониторинг эффективности использования средств Фонда проводится на предмет:</w:t>
      </w:r>
    </w:p>
    <w:p>
      <w:pPr>
        <w:spacing w:after="120"/>
        <w:ind w:firstLine="709"/>
        <w:jc w:val="both"/>
      </w:pPr>
      <w:r>
        <w:rPr>
          <w:rFonts w:ascii="Arial" w:cs="Arial" w:eastAsia="Arial" w:hAnsi="Arial"/>
          <w:sz w:val="24"/>
          <w:szCs w:val="24"/>
        </w:rPr>
        <w:t xml:space="preserve">1) соблюдения целевого использования средств и его соответствия утвержденным планам;</w:t>
      </w:r>
    </w:p>
    <w:p>
      <w:pPr>
        <w:spacing w:after="120"/>
        <w:ind w:firstLine="709"/>
        <w:jc w:val="both"/>
      </w:pPr>
      <w:r>
        <w:rPr>
          <w:rFonts w:ascii="Arial" w:cs="Arial" w:eastAsia="Arial" w:hAnsi="Arial"/>
          <w:sz w:val="24"/>
          <w:szCs w:val="24"/>
        </w:rPr>
        <w:t xml:space="preserve">2) оценки эффективности выполнения проектов и программы кредитования;</w:t>
      </w:r>
    </w:p>
    <w:p>
      <w:pPr>
        <w:spacing w:after="120"/>
        <w:ind w:firstLine="709"/>
        <w:jc w:val="both"/>
      </w:pPr>
      <w:r>
        <w:rPr>
          <w:rFonts w:ascii="Arial" w:cs="Arial" w:eastAsia="Arial" w:hAnsi="Arial"/>
          <w:sz w:val="24"/>
          <w:szCs w:val="24"/>
        </w:rPr>
        <w:t xml:space="preserve">3) соблюдения процедур и норм бюджетного законодательства Кыргызской Республики.</w:t>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Исполнительный орган Фонда разрабатывает методику проведения мониторинга и оценки, которая утверждается решением Наблюдательного совета Фонда.</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По представлению исполнительного органа Фонда Наблюдательный совет утверждает состав мониторинговой группы Фонда. В состав мониторинговой группы входят представители Наблюдательного совета Фонда, государственных органов, органов местного самоуправления, коммерческих и некоммерческих организаций.</w:t>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Члены мониторинговой группы вправе запросить документы, касающиеся использования средств Фонда.</w:t>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Результаты мониторинга оформляются в виде отчета, где отражаются результаты мониторинга и рекомендации по устранению отклонений.</w:t>
      </w:r>
    </w:p>
    <w:p>
      <w:pPr>
        <w:spacing w:after="120"/>
        <w:ind w:firstLine="709"/>
        <w:jc w:val="both"/>
      </w:pPr>
      <w:r>
        <w:rPr>
          <w:rFonts w:ascii="Arial" w:cs="Arial" w:eastAsia="Arial" w:hAnsi="Arial"/>
          <w:sz w:val="24"/>
          <w:szCs w:val="24"/>
        </w:rPr>
        <w:t xml:space="preserve">99.</w:t>
      </w:r>
      <w:r>
        <w:rPr>
          <w:rFonts w:ascii="Arial" w:cs="Arial" w:eastAsia="Arial" w:hAnsi="Arial"/>
          <w:sz w:val="24"/>
          <w:szCs w:val="24"/>
        </w:rPr>
        <w:t xml:space="preserve">Отчет мониторинговой группы заслушивается на заседаниях Наблюдательного совета Фонда не менее двух раз в год. Отчет исполнительного органа Фонда по результатам мониторинга и оценки на ежегодной основе направляется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и развитию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Порядок распределения средств из республиканского бюджета в Фонды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Распределение средств из республиканского бюджета осуществляется по двум группам:</w:t>
      </w:r>
    </w:p>
    <w:p>
      <w:pPr>
        <w:spacing w:after="120"/>
        <w:ind w:firstLine="709"/>
        <w:jc w:val="both"/>
      </w:pPr>
      <w:r>
        <w:rPr>
          <w:rFonts w:ascii="Arial" w:cs="Arial" w:eastAsia="Arial" w:hAnsi="Arial"/>
          <w:sz w:val="24"/>
          <w:szCs w:val="24"/>
        </w:rPr>
        <w:t xml:space="preserve">1) фонды развития областей –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а также дополнительно согласно решениям Кабинета Министров Кыргызской Республики,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ind w:firstLine="709"/>
        <w:jc w:val="both"/>
      </w:pPr>
      <w:r>
        <w:rPr>
          <w:rFonts w:ascii="Arial" w:cs="Arial" w:eastAsia="Arial" w:hAnsi="Arial"/>
          <w:sz w:val="24"/>
          <w:szCs w:val="24"/>
        </w:rPr>
        <w:t xml:space="preserve">2) фонды развития районов – каждому району от установленного соответствующим уполномоченным государственным органом по прогнозированию и исполнению бюджета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а также дополнительно согласно решениям Кабинета Министров Кыргызской Республики, за исключением районов, где поступают отчисления на содержание инфраструктуры местного значения от разработчиков крупных месторождений свыше 20 000 000 (двадцать миллионов) сомов согласно таблице.</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Размеры средств, выделяемых районным территориальным подразделениям из республиканского бюджета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6"/>
        <w:gridCol w:w="2574"/>
        <w:gridCol w:w="3508"/>
      </w:tblGrid>
      <w:tr>
        <w:tc>
          <w:tcPr>
            <w:tcW w:type="dxa" w:w="40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20000000 (двадцать миллионов) сомов</w:t>
            </w:r>
          </w:p>
        </w:tc>
        <w:tc>
          <w:tcPr>
            <w:tcW w:type="dxa" w:w="2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фонды развития регионов</w:t>
            </w:r>
          </w:p>
        </w:tc>
        <w:tc>
          <w:tcPr>
            <w:tcW w:type="dxa" w:w="3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фонды развития регионов, где имеются города районного значения</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2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30 000 000
 (тридцать миллионов) сомов</w:t>
            </w:r>
          </w:p>
        </w:tc>
        <w:tc>
          <w:tcPr>
            <w:tcW w:type="dxa" w:w="3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5 400 000
 (пять миллионов четыреста тысяч) сомов</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2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20 000 000
 (двадцать миллионов) сомов</w:t>
            </w:r>
          </w:p>
        </w:tc>
        <w:tc>
          <w:tcPr>
            <w:tcW w:type="dxa" w:w="3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5 400 000
 (пять миллионов четыреста тысяч) сомов</w:t>
            </w:r>
          </w:p>
        </w:tc>
      </w:tr>
      <w:tr>
        <w:tc>
          <w:tcPr>
            <w:tcW w:type="dxa" w:w="40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2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15 000 000
 (пятнадцать миллионов) сомов</w:t>
            </w:r>
          </w:p>
        </w:tc>
        <w:tc>
          <w:tcPr>
            <w:tcW w:type="dxa" w:w="3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5 400 000
 (пять миллионов четыреста тысяч) сомов</w:t>
            </w:r>
          </w:p>
        </w:tc>
      </w:tr>
    </w:tbl>
    <w:p>
      <w:pPr>
        <w:spacing w:after="120" w:before="120"/>
        <w:ind w:firstLine="709"/>
        <w:jc w:val="both"/>
      </w:pPr>
      <w:r>
        <w:rPr>
          <w:rFonts w:ascii="Arial" w:cs="Arial" w:eastAsia="Arial" w:hAnsi="Arial"/>
          <w:sz w:val="24"/>
          <w:szCs w:val="24"/>
        </w:rPr>
        <w:t xml:space="preserve">Объем средств из республиканского бюджета, предоставляемых в Фонды, утверждается Законом Кыргызской Республики о республиканском бюджете.</w:t>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Уполномоченный государственный орган по прогнозированию и исполнению бюджета ежемесячно утверждает кассовый план согласно заявкам исполнительных органов Фондов. Исполнительные органы Фондов открывают кассовый план согласно представленным заявкам и осуществляют финансирование проектов.</w:t>
      </w:r>
    </w:p>
    <w:p>
      <w:pPr>
        <w:spacing w:after="120"/>
        <w:ind w:firstLine="709"/>
        <w:jc w:val="both"/>
      </w:pPr>
      <w:r>
        <w:rPr>
          <w:rFonts w:ascii="Arial" w:cs="Arial" w:eastAsia="Arial" w:hAnsi="Arial"/>
          <w:sz w:val="24"/>
          <w:szCs w:val="24"/>
        </w:rPr>
        <w:t xml:space="preserve">102.</w:t>
      </w:r>
      <w:r>
        <w:rPr>
          <w:rFonts w:ascii="Arial" w:cs="Arial" w:eastAsia="Arial" w:hAnsi="Arial"/>
          <w:sz w:val="24"/>
          <w:szCs w:val="24"/>
        </w:rPr>
        <w:t xml:space="preserve">Исполнительный орган Фонда производит своевременное и полное финансирование расходов за счет средств республиканского бюджета согласно утвержденной смете расходов.</w:t>
      </w:r>
    </w:p>
    <w:p>
      <w:pPr>
        <w:spacing w:after="120"/>
        <w:ind w:firstLine="709"/>
        <w:jc w:val="both"/>
      </w:pPr>
      <w:r>
        <w:rPr>
          <w:rFonts w:ascii="Arial" w:cs="Arial" w:eastAsia="Arial" w:hAnsi="Arial"/>
          <w:sz w:val="24"/>
          <w:szCs w:val="24"/>
        </w:rPr>
        <w:t xml:space="preserve">103.</w:t>
      </w:r>
      <w:r>
        <w:rPr>
          <w:rFonts w:ascii="Arial" w:cs="Arial" w:eastAsia="Arial" w:hAnsi="Arial"/>
          <w:sz w:val="24"/>
          <w:szCs w:val="24"/>
        </w:rPr>
        <w:t xml:space="preserve">Утвержденные Наблюдательным советом Фонда в текущем году проекты, но не профинансированные, должны быть учтены в годовом бюджете фонда в планируемом году и профинансированы в первоочередном порядке.</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Конфликт интересов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104.</w:t>
      </w:r>
      <w:r>
        <w:rPr>
          <w:rFonts w:ascii="Arial" w:cs="Arial" w:eastAsia="Arial" w:hAnsi="Arial"/>
          <w:sz w:val="24"/>
          <w:szCs w:val="24"/>
        </w:rPr>
        <w:t xml:space="preserve">В случае если члены Наблюдательного совета Фонда, Исполнительного органа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7yduzsiiwjzb36h99nl">
      <w:r>
        <w:rPr>
          <w:rFonts w:ascii="Arial" w:cs="Arial" w:eastAsia="Arial" w:hAnsi="Arial"/>
          <w:color w:val="132D3F"/>
          <w:sz w:val="16"/>
          <w:szCs w:val="16"/>
          <w:u w:val="single"/>
        </w:rPr>
        <w:t xml:space="preserve">dalil.kg/document/230042057</w:t>
      </w:r>
    </w:hyperlink>
  </w:p>
  <w:p>
    <w:pPr>
      <w:spacing w:after="0" w:before="40"/>
      <w:jc w:val="center"/>
    </w:pPr>
    <w:hyperlink w:history="1" r:id="rId-meghdheyyixn_xykav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sekwq8-bj3lyp0_3-oo" Type="http://schemas.openxmlformats.org/officeDocument/2006/relationships/hyperlink" Target="https://dalil.kg/document/230041881" TargetMode="External"/><Relationship Id="rIdb6abcvoh6frhupnvzr-ab" Type="http://schemas.openxmlformats.org/officeDocument/2006/relationships/hyperlink" Target="https://dalil.kg/document/2300149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7yduzsiiwjzb36h99nl" Type="http://schemas.openxmlformats.org/officeDocument/2006/relationships/hyperlink" Target="https://dalil.kg/document/230042057" TargetMode="External"/><Relationship Id="rId-meghdheyyixn_xykav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2026-09-24T07:32:16.817Z</dcterms:created>
  <dcterms:modified xsi:type="dcterms:W3CDTF">2026-09-24T07:32:16.817Z</dcterms:modified>
</cp:coreProperties>
</file>

<file path=docProps/custom.xml><?xml version="1.0" encoding="utf-8"?>
<Properties xmlns="http://schemas.openxmlformats.org/officeDocument/2006/custom-properties" xmlns:vt="http://schemas.openxmlformats.org/officeDocument/2006/docPropsVTypes"/>
</file>